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1449.xml.htm"/>
      <w:bookmarkStart w:id="1" w:name="kswkform4_17816414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McLaughlin Matthew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COMSCORE,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11950 DEMOCRACY DRIVE, STE.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COMSCORE, INC.</w:t>
              </w:r>
            </w:hyperlink>
            <w:r>
              <w:rPr/>
              <w:t xml:space="preserve"> [ </w:t>
            </w:r>
            <w:r>
              <w:rPr>
                <w:rFonts w:ascii="Times;serif" w:hAnsi="Times;serif"/>
                <w:color w:val="0000FF"/>
                <w:sz w:val="24"/>
                <w:shd w:fill="FFFFFF" w:val="clear"/>
              </w:rPr>
              <w:t>SCOR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449,727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449,727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449,727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award was granted pursuant to the terms of the comScore, Inc. 2018 Equity and Incentive Compensation Plan and vests and becomes exercisable in three equal annual installments beginning on 5/28/2027, subject to the reporter's continuous employment with the Company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Ashley Wright,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3874" TargetMode="External"/><Relationship Id="rId5" Type="http://schemas.openxmlformats.org/officeDocument/2006/relationships/hyperlink" Target="http://www.sec.gov/cgi-bin/browse-edgar?action=getcompany&amp;CIK=00011581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3386</Characters>
  <CharactersWithSpaces>3940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