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2883.xml.htm"/>
      <w:bookmarkStart w:id="1" w:name="kswkform4_17830228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Wendling Brian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COMSCORE,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11950 DEMOCRACY DRIVE STE.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COMSCORE, INC.</w:t>
              </w:r>
            </w:hyperlink>
            <w:r>
              <w:rPr/>
              <w:t xml:space="preserve"> [ </w:t>
            </w:r>
            <w:r>
              <w:rPr>
                <w:rFonts w:ascii="Times;serif" w:hAnsi="Times;serif"/>
                <w:color w:val="0000FF"/>
                <w:sz w:val="24"/>
                <w:shd w:fill="FFFFFF" w:val="clear"/>
              </w:rPr>
              <w:t>SCOR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16,461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16,461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restricted stock unit award was granted pursuant to the terms of the comScore, Inc. 2018 Equity and Incentive Compensation Plan. This award, which represents compensation for the 2026-2027 director term, will vest in full on the earliest of (i) the date of the Company's 2027 annual meeting of stockholders, (ii) June 30, 2027, and (iii) the date of a change in control of the Company, subject in each case to the reporter's continued status as a member of the Company's Board of Directors on the vesting date. Vested units will be deferred and delivered in shares of common stock upon a separation from service or a change in control of the Company, as set forth in the applicable award notice.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Ashley Wright,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3090" TargetMode="External"/><Relationship Id="rId5" Type="http://schemas.openxmlformats.org/officeDocument/2006/relationships/hyperlink" Target="http://www.sec.gov/cgi-bin/browse-edgar?action=getcompany&amp;CIK=00011581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3763</Characters>
  <CharactersWithSpaces>4407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