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540" w:right="700" w:hanging="514"/>
        <w:spacing w:after="0" w:line="239" w:lineRule="auto"/>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001-33520</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COMSCORE,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tcBorders>
          </w:tcPr>
          <w:p>
            <w:pPr>
              <w:jc w:val="center"/>
              <w:ind w:left="15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90"/>
        </w:trPr>
        <w:tc>
          <w:tcPr>
            <w:tcW w:w="726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980" w:type="dxa"/>
            <w:vAlign w:val="bottom"/>
          </w:tcPr>
          <w:p>
            <w:pPr>
              <w:jc w:val="center"/>
              <w:ind w:right="1499"/>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3"/>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82"/>
        </w:trPr>
        <w:tc>
          <w:tcPr>
            <w:tcW w:w="3920" w:type="dxa"/>
            <w:vAlign w:val="bottom"/>
          </w:tcPr>
          <w:p>
            <w:pPr>
              <w:spacing w:after="0"/>
              <w:rPr>
                <w:sz w:val="24"/>
                <w:szCs w:val="24"/>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11950 Democracy Drive, Suite 600</w:t>
            </w:r>
          </w:p>
        </w:tc>
        <w:tc>
          <w:tcPr>
            <w:tcW w:w="3980" w:type="dxa"/>
            <w:vAlign w:val="bottom"/>
          </w:tcPr>
          <w:p>
            <w:pPr>
              <w:spacing w:after="0"/>
              <w:rPr>
                <w:sz w:val="24"/>
                <w:szCs w:val="24"/>
                <w:color w:val="auto"/>
              </w:rPr>
            </w:pPr>
          </w:p>
        </w:tc>
      </w:tr>
      <w:tr>
        <w:trPr>
          <w:trHeight w:val="214"/>
        </w:trPr>
        <w:tc>
          <w:tcPr>
            <w:tcW w:w="3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980" w:type="dxa"/>
            <w:vAlign w:val="bottom"/>
          </w:tcPr>
          <w:p>
            <w:pPr>
              <w:spacing w:after="0"/>
              <w:rPr>
                <w:sz w:val="18"/>
                <w:szCs w:val="18"/>
                <w:color w:val="auto"/>
              </w:rPr>
            </w:pPr>
          </w:p>
        </w:tc>
      </w:tr>
      <w:tr>
        <w:trPr>
          <w:trHeight w:val="190"/>
        </w:trPr>
        <w:tc>
          <w:tcPr>
            <w:tcW w:w="392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980" w:type="dxa"/>
            <w:vAlign w:val="bottom"/>
          </w:tcPr>
          <w:p>
            <w:pPr>
              <w:spacing w:after="0"/>
              <w:rPr>
                <w:sz w:val="16"/>
                <w:szCs w:val="16"/>
                <w:color w:val="auto"/>
              </w:rPr>
            </w:pPr>
          </w:p>
        </w:tc>
      </w:tr>
      <w:tr>
        <w:trPr>
          <w:trHeight w:val="242"/>
        </w:trPr>
        <w:tc>
          <w:tcPr>
            <w:tcW w:w="3920" w:type="dxa"/>
            <w:vAlign w:val="bottom"/>
          </w:tcPr>
          <w:p>
            <w:pPr>
              <w:spacing w:after="0"/>
              <w:rPr>
                <w:sz w:val="21"/>
                <w:szCs w:val="21"/>
                <w:color w:val="auto"/>
              </w:rPr>
            </w:pPr>
          </w:p>
        </w:tc>
        <w:tc>
          <w:tcPr>
            <w:tcW w:w="2720" w:type="dxa"/>
            <w:vAlign w:val="bottom"/>
            <w:gridSpan w:val="3"/>
          </w:tcPr>
          <w:p>
            <w:pPr>
              <w:jc w:val="center"/>
              <w:ind w:left="599"/>
              <w:spacing w:after="0"/>
              <w:rPr>
                <w:sz w:val="20"/>
                <w:szCs w:val="20"/>
                <w:color w:val="auto"/>
              </w:rPr>
            </w:pPr>
            <w:r>
              <w:rPr>
                <w:rFonts w:ascii="Times New Roman" w:cs="Times New Roman" w:eastAsia="Times New Roman" w:hAnsi="Times New Roman"/>
                <w:sz w:val="18"/>
                <w:szCs w:val="18"/>
                <w:b w:val="1"/>
                <w:bCs w:val="1"/>
                <w:color w:val="auto"/>
                <w:w w:val="99"/>
              </w:rPr>
              <w:t>(703) 438-2000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190"/>
        </w:trPr>
        <w:tc>
          <w:tcPr>
            <w:tcW w:w="392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980" w:type="dxa"/>
            <w:vAlign w:val="bottom"/>
          </w:tcPr>
          <w:p>
            <w:pPr>
              <w:spacing w:after="0"/>
              <w:rPr>
                <w:sz w:val="16"/>
                <w:szCs w:val="16"/>
                <w:color w:val="auto"/>
              </w:rPr>
            </w:pPr>
          </w:p>
        </w:tc>
      </w:tr>
      <w:tr>
        <w:trPr>
          <w:trHeight w:val="253"/>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tc>
      </w:tr>
      <w:tr>
        <w:trPr>
          <w:trHeight w:val="300"/>
        </w:trPr>
        <w:tc>
          <w:tcPr>
            <w:tcW w:w="3920" w:type="dxa"/>
            <w:vAlign w:val="bottom"/>
          </w:tcPr>
          <w:p>
            <w:pPr>
              <w:jc w:val="center"/>
              <w:ind w:left="497"/>
              <w:spacing w:after="0"/>
              <w:rPr>
                <w:sz w:val="20"/>
                <w:szCs w:val="20"/>
                <w:color w:val="auto"/>
              </w:rPr>
            </w:pPr>
            <w:r>
              <w:rPr>
                <w:rFonts w:ascii="Times New Roman" w:cs="Times New Roman" w:eastAsia="Times New Roman" w:hAnsi="Times New Roman"/>
                <w:sz w:val="14"/>
                <w:szCs w:val="14"/>
                <w:color w:val="auto"/>
              </w:rPr>
              <w:t>Title of Each Class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Trading Symbol</w:t>
            </w:r>
          </w:p>
        </w:tc>
        <w:tc>
          <w:tcPr>
            <w:tcW w:w="398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392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SCOR</w:t>
            </w:r>
          </w:p>
        </w:tc>
        <w:tc>
          <w:tcPr>
            <w:tcW w:w="3980" w:type="dxa"/>
            <w:vAlign w:val="bottom"/>
          </w:tcPr>
          <w:p>
            <w:pPr>
              <w:jc w:val="center"/>
              <w:ind w:right="439"/>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r>
        <w:rPr>
          <w:rFonts w:ascii="Times New Roman" w:cs="Times New Roman" w:eastAsia="Times New Roman" w:hAnsi="Times New Roman"/>
          <w:sz w:val="18"/>
          <w:szCs w:val="18"/>
          <w:color w:val="auto"/>
        </w:rPr>
        <w:t>: None.</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6" w:lineRule="exact"/>
        <w:rPr>
          <w:sz w:val="24"/>
          <w:szCs w:val="24"/>
          <w:color w:val="auto"/>
        </w:rPr>
      </w:pPr>
    </w:p>
    <w:p>
      <w:pPr>
        <w:ind w:right="3380"/>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right="300"/>
        <w:spacing w:after="0" w:line="26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shd w:val="clear" w:color="auto" w:fill="CCEEFF"/>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5"/>
                <w:szCs w:val="15"/>
                <w:color w:val="auto"/>
              </w:rPr>
              <w:t>Accelerated filer</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tcPr>
          <w:p>
            <w:pPr>
              <w:ind w:left="20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18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454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5"/>
                <w:szCs w:val="15"/>
                <w:color w:val="auto"/>
              </w:rPr>
              <w:t>Emerging growth company</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84" w:lineRule="exact"/>
        <w:rPr>
          <w:sz w:val="24"/>
          <w:szCs w:val="24"/>
          <w:color w:val="auto"/>
        </w:rPr>
      </w:pPr>
    </w:p>
    <w:p>
      <w:pPr>
        <w:jc w:val="both"/>
        <w:ind w:right="20"/>
        <w:spacing w:after="0" w:line="19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 w:lineRule="exact"/>
        <w:rPr>
          <w:sz w:val="24"/>
          <w:szCs w:val="24"/>
          <w:color w:val="auto"/>
        </w:rPr>
      </w:pPr>
    </w:p>
    <w:p>
      <w:pPr>
        <w:jc w:val="both"/>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17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of the registrant, as of June 30, 2025, the last business day of the registrant's most recently completed second fiscal quarter, was approximately $19.3 million (based on the closing price of the registrant's common stock on the Nasdaq Global Select Market on that date). Solely for purposes of this disclosure, shares of the registrant's common stock held by executive officers and directors and each person who owned 10% or more of the outstanding common stock of the registrant have been excluded in that such persons may be deemed to be affiliates. This determination of affiliate status is not a conclusive determination for other purposes.</w:t>
      </w:r>
    </w:p>
    <w:p>
      <w:pPr>
        <w:spacing w:after="0" w:line="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 As of March 16, 2026, there were 15,023,514 shares of the registrant's common stock outstanding.</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Specified portions of the registrant's Proxy Statement with respect to its 2026 Annual Meeting of Stockholders, to be filed with the Securities and Exchange Commission no later than 120 days following the end of the registrant's fiscal year ended December 31, 2025,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w:t>
            </w:r>
            <w:r>
              <w:rPr>
                <w:rFonts w:ascii="Times New Roman" w:cs="Times New Roman" w:eastAsia="Times New Roman" w:hAnsi="Times New Roman"/>
                <w:sz w:val="18"/>
                <w:szCs w:val="18"/>
                <w:color w:val="0019FF"/>
              </w:rPr>
              <w:t>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19FF"/>
            </w:tcBorders>
          </w:tcPr>
          <w:p>
            <w:pPr>
              <w:spacing w:after="0"/>
              <w:rPr>
                <w:sz w:val="24"/>
                <w:szCs w:val="24"/>
                <w:color w:val="auto"/>
              </w:rPr>
            </w:pPr>
          </w:p>
        </w:tc>
        <w:tc>
          <w:tcPr>
            <w:tcW w:w="120" w:type="dxa"/>
            <w:vAlign w:val="bottom"/>
            <w:tcBorders>
              <w:top w:val="single" w:sz="8" w:color="0019FF"/>
            </w:tcBorders>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gridSpan w:val="12"/>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COMSCORE,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gridSpan w:val="14"/>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gridSpan w:val="17"/>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FOR THE PERIOD ENDED DECEMBER 31, 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gridSpan w:val="12"/>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tcPr>
          <w:p>
            <w:pPr>
              <w:spacing w:after="0"/>
              <w:rPr>
                <w:sz w:val="24"/>
                <w:szCs w:val="24"/>
                <w:color w:val="auto"/>
              </w:rPr>
            </w:pPr>
          </w:p>
        </w:tc>
        <w:tc>
          <w:tcPr>
            <w:tcW w:w="10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140" w:type="dxa"/>
            <w:vAlign w:val="bottom"/>
            <w:tcBorders>
              <w:top w:val="single" w:sz="8" w:color="0000FF"/>
            </w:tcBorders>
            <w:gridSpan w:val="3"/>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96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860" w:type="dxa"/>
            <w:vAlign w:val="bottom"/>
            <w:gridSpan w:val="19"/>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2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720" w:type="dxa"/>
            <w:vAlign w:val="bottom"/>
            <w:gridSpan w:val="12"/>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6"/>
          </w:tcPr>
          <w:p>
            <w:pPr>
              <w:spacing w:after="0"/>
              <w:rPr>
                <w:sz w:val="18"/>
                <w:szCs w:val="18"/>
                <w:color w:val="auto"/>
              </w:rPr>
            </w:pPr>
          </w:p>
        </w:tc>
        <w:tc>
          <w:tcPr>
            <w:tcW w:w="6720" w:type="dxa"/>
            <w:vAlign w:val="bottom"/>
            <w:gridSpan w:val="12"/>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80" w:type="dxa"/>
            <w:vAlign w:val="bottom"/>
            <w:gridSpan w:val="2"/>
          </w:tcPr>
          <w:p>
            <w:pPr>
              <w:spacing w:after="0"/>
              <w:rPr>
                <w:sz w:val="18"/>
                <w:szCs w:val="18"/>
                <w:color w:val="auto"/>
              </w:rPr>
            </w:pPr>
          </w:p>
        </w:tc>
        <w:tc>
          <w:tcPr>
            <w:tcW w:w="7760" w:type="dxa"/>
            <w:vAlign w:val="bottom"/>
            <w:gridSpan w:val="18"/>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27</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8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77"/>
              </w:rPr>
              <w:t>28</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6000" w:type="dxa"/>
            <w:vAlign w:val="bottom"/>
            <w:tcBorders>
              <w:top w:val="single" w:sz="8" w:color="0000FF"/>
            </w:tcBorders>
            <w:gridSpan w:val="16"/>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gridSpan w:val="2"/>
            <w:shd w:val="clear" w:color="auto" w:fill="0000FF"/>
          </w:tcPr>
          <w:p>
            <w:pPr>
              <w:spacing w:after="0"/>
              <w:rPr>
                <w:sz w:val="2"/>
                <w:szCs w:val="2"/>
                <w:color w:val="auto"/>
              </w:rPr>
            </w:pPr>
          </w:p>
        </w:tc>
        <w:tc>
          <w:tcPr>
            <w:tcW w:w="640" w:type="dxa"/>
            <w:vAlign w:val="bottom"/>
            <w:gridSpan w:val="5"/>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Borders>
              <w:right w:val="single" w:sz="8" w:color="0000FF"/>
            </w:tcBorders>
            <w:gridSpan w:val="2"/>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640" w:type="dxa"/>
            <w:vAlign w:val="bottom"/>
            <w:gridSpan w:val="5"/>
          </w:tcPr>
          <w:p>
            <w:pPr>
              <w:spacing w:after="0"/>
              <w:rPr>
                <w:sz w:val="18"/>
                <w:szCs w:val="18"/>
                <w:color w:val="auto"/>
              </w:rPr>
            </w:pPr>
          </w:p>
        </w:tc>
        <w:tc>
          <w:tcPr>
            <w:tcW w:w="7460" w:type="dxa"/>
            <w:vAlign w:val="bottom"/>
            <w:gridSpan w:val="17"/>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6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340" w:type="dxa"/>
            <w:vAlign w:val="bottom"/>
            <w:gridSpan w:val="4"/>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420" w:type="dxa"/>
            <w:vAlign w:val="bottom"/>
            <w:gridSpan w:val="7"/>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gridSpan w:val="12"/>
          </w:tcPr>
          <w:p>
            <w:pPr>
              <w:spacing w:after="0"/>
              <w:rPr>
                <w:sz w:val="18"/>
                <w:szCs w:val="18"/>
                <w:color w:val="auto"/>
              </w:rPr>
            </w:pPr>
          </w:p>
        </w:tc>
        <w:tc>
          <w:tcPr>
            <w:tcW w:w="2300" w:type="dxa"/>
            <w:vAlign w:val="bottom"/>
            <w:gridSpan w:val="3"/>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00" w:type="dxa"/>
            <w:vAlign w:val="bottom"/>
            <w:gridSpan w:val="15"/>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85</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80" w:type="dxa"/>
            <w:vAlign w:val="bottom"/>
            <w:gridSpan w:val="8"/>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gridSpan w:val="6"/>
          </w:tcPr>
          <w:p>
            <w:pPr>
              <w:spacing w:after="0"/>
              <w:rPr>
                <w:sz w:val="18"/>
                <w:szCs w:val="18"/>
                <w:color w:val="auto"/>
              </w:rPr>
            </w:pPr>
          </w:p>
        </w:tc>
        <w:tc>
          <w:tcPr>
            <w:tcW w:w="4680" w:type="dxa"/>
            <w:vAlign w:val="bottom"/>
            <w:gridSpan w:val="8"/>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480" w:type="dxa"/>
            <w:vAlign w:val="bottom"/>
            <w:gridSpan w:val="2"/>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18"/>
                <w:szCs w:val="18"/>
                <w:color w:val="auto"/>
              </w:rPr>
            </w:pPr>
          </w:p>
        </w:tc>
        <w:tc>
          <w:tcPr>
            <w:tcW w:w="1480" w:type="dxa"/>
            <w:vAlign w:val="bottom"/>
            <w:gridSpan w:val="2"/>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320" w:type="dxa"/>
            <w:vAlign w:val="bottom"/>
            <w:tcBorders>
              <w:right w:val="single" w:sz="8" w:color="0000FF"/>
            </w:tcBorders>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20" w:type="dxa"/>
            <w:vAlign w:val="bottom"/>
            <w:gridSpan w:val="5"/>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2"/>
              </w:rPr>
              <w:t>PART IV</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Item</w:t>
            </w:r>
          </w:p>
        </w:tc>
        <w:tc>
          <w:tcPr>
            <w:tcW w:w="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620" w:type="dxa"/>
            <w:vAlign w:val="bottom"/>
            <w:tcBorders>
              <w:right w:val="single" w:sz="8" w:color="0000FF"/>
            </w:tcBorders>
            <w:gridSpan w:val="1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6"/>
          </w:tcPr>
          <w:p>
            <w:pPr>
              <w:spacing w:after="0"/>
              <w:rPr>
                <w:sz w:val="18"/>
                <w:szCs w:val="18"/>
                <w:color w:val="auto"/>
              </w:rPr>
            </w:pPr>
          </w:p>
        </w:tc>
        <w:tc>
          <w:tcPr>
            <w:tcW w:w="5620" w:type="dxa"/>
            <w:vAlign w:val="bottom"/>
            <w:gridSpan w:val="10"/>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93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77"/>
              </w:rPr>
              <w:t>94</w:t>
            </w:r>
          </w:p>
        </w:tc>
        <w:tc>
          <w:tcPr>
            <w:tcW w:w="0" w:type="dxa"/>
            <w:vAlign w:val="bottom"/>
          </w:tcPr>
          <w:p>
            <w:pPr>
              <w:spacing w:after="0"/>
              <w:rPr>
                <w:sz w:val="1"/>
                <w:szCs w:val="1"/>
                <w:color w:val="auto"/>
              </w:rPr>
            </w:pPr>
          </w:p>
        </w:tc>
      </w:tr>
      <w:tr>
        <w:trPr>
          <w:trHeight w:val="1783"/>
        </w:trPr>
        <w:tc>
          <w:tcPr>
            <w:tcW w:w="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may make certain statements, including in this Annual Report on Form 10-K, or 10-K, including the information contained in </w:t>
      </w:r>
      <w:r>
        <w:rPr>
          <w:rFonts w:ascii="Times New Roman" w:cs="Times New Roman" w:eastAsia="Times New Roman" w:hAnsi="Times New Roman"/>
          <w:sz w:val="18"/>
          <w:szCs w:val="18"/>
          <w:i w:val="1"/>
          <w:iCs w:val="1"/>
          <w:u w:val="single" w:color="auto"/>
          <w:color w:val="0000FF"/>
        </w:rPr>
        <w:t>Item 7</w:t>
      </w:r>
      <w:r>
        <w:rPr>
          <w:rFonts w:ascii="Times New Roman" w:cs="Times New Roman" w:eastAsia="Times New Roman" w:hAnsi="Times New Roman"/>
          <w:sz w:val="18"/>
          <w:szCs w:val="18"/>
          <w:i w:val="1"/>
          <w:iCs w:val="1"/>
          <w:color w:val="auto"/>
        </w:rPr>
        <w:t>, "Management's Discussion and Analysis of Financial Condition and Results of Operations" of this 10-K, and the information incorporated by reference in this 10-K, that constitute forward-looking statements within the meaning of federal and state securities laws. Forward-looking statements are all statements other than statements of historical fact. We attempt to identify these forward-looking statements by words such as "may," "will," "should," "could," "might," "expect," "plan," "anticipate," "believe," "estimate," "target," "goal," "predict," "intend," "potential," "continue," "seek"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expectations regarding our restructuring activities and cost-reduction initiatives; macroeconomic trends and factors that we expect may influence our business, including changes or declines in advertising spending; plans for financing and capital expenditures; expectations regarding liquidity, customer payments and compliance with debt and financing covenants and future payment obligations; expectations regarding our commercial relationships and the development and customer adoption of new products; potential limitations on our net operating loss carryforwards and other tax assets; potential dilution from securities issuances; regulatory compliance and expected changes in the regulatory, tax, industry or privacy landscape affecting our business; expected impact of litigation and regulatory proceedings; and plans for growth and future operations, as well as assumptions relating to the foregoing.</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Forward-looking statements are inherently subject to risks and uncertainties, some of which cannot be predicted or quantified. These statements are based on expectations and assumptions as of the date of this 10-K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w:t>
      </w:r>
      <w:r>
        <w:rPr>
          <w:rFonts w:ascii="Times New Roman" w:cs="Times New Roman" w:eastAsia="Times New Roman" w:hAnsi="Times New Roman"/>
          <w:sz w:val="18"/>
          <w:szCs w:val="18"/>
          <w:i w:val="1"/>
          <w:iCs w:val="1"/>
          <w:u w:val="single" w:color="auto"/>
          <w:color w:val="0000FF"/>
        </w:rPr>
        <w:t>Item 1A</w:t>
      </w:r>
      <w:r>
        <w:rPr>
          <w:rFonts w:ascii="Times New Roman" w:cs="Times New Roman" w:eastAsia="Times New Roman" w:hAnsi="Times New Roman"/>
          <w:sz w:val="18"/>
          <w:szCs w:val="18"/>
          <w:i w:val="1"/>
          <w:iCs w:val="1"/>
          <w:color w:val="auto"/>
        </w:rPr>
        <w:t>, "Risk Factors" of this 10-K and elsewhere within this report, and those identified in other documents that we file from time to time with the U.S. Securities and Exchange Commission, or SEC.</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You should not place undue reliance on forward-looking statements, which apply only as of the date of this 10-K. You should carefully review the risk factors described in this 10-K and in other documents that we file from time to time with the SEC. Except as required by applicable law, including the rules and regulations of the SEC, we undertake no obligation, and expressly disclaim any duty, to publicly update or revise forward-looking statements, whether as a result of any new information, future events or otherwise. Although we believe the expectations reflected in the forward-looking statements are reasonable as of the date of this 10-K, our statements are not guarantees of future results, levels of activity, performance, or achievements, and actual outcomes and results may differ materially from those expressed in, or implied by, any of our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3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10-K to "Comscore," "we," "us," the "Company" and "our" refer to comScore, Inc. and its consolidated subsidiaries. This 10-K contains trademarks and trade names of our company and our subsidiaries. We maintain trademark protection for our products and services. All trademarks and trade names appearing in this 10-K are the property of their respective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platforms we measure include televisions, mobile devices, computers, tablets, connected TV ("CTV") devices and movie theaters. The information we analyze crosses geographies, types of content and activities, including websites, mobile and over-the-top applications, video games, television and movie programming, e-commerce and advertising.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headquartered in Reston, Virginia with principal offices located at 11950 Democracy Drive, Suite 600, Reston, VA 20190.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telephone number is 703-438-2000.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Key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Recapitalization Transaction with Preferred Stockholders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26, 2025, we entered into separate Stock Exchange Agreements with the holders of our Series B Convertible Preferred Stock, par value $0.001 per share ("Series B Preferred Stock") pursuant to which, at the closing of the transactions contemplated thereby, each holder would exchange the Series B Preferred Stock then owned by such holder for shares of Series C Convertible Preferred Stock, par value $0.001 per share ("Series C Preferred Stock"); common stock, par value $0.001 per share ("Common Stock"); and a fixed cash payment of $2.0 million in June 2028. The issuance of securities in exchange for Series B Preferred Stock pursuant to the Stock Exchange Agreements (the "Recapitalization Transaction") and related matters were approved by our stockholders on December 19, 2025 and subsequently closed on December 29, 2025. The Recapitalization Transaction resulted in the exchange and retirement of all shares of Series B Preferred Stock, the elimination of related dividend rights, and a reduction in the holders' director designation rights, among other things.</w:t>
      </w:r>
    </w:p>
    <w:p>
      <w:pPr>
        <w:spacing w:after="0" w:line="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 of the Notes to Consolidated Financial Statements for additional information on the Recapitalization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Credit Agreement</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26, 2025, in connection with the Recapitalization Transaction, we entered into an amendment to our senior secured financing agreement (the "Credit Agreement") with Blue Torch Finance LLC to permit the issuance of Series C Preferred Stock and related matters. The Credit Agreement amendment became effective on December 29, 2025, concurrent with the closing of the Recapitalization Transaction.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for additional information on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Market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1999 on the belief that digital technology would transform the interactions between people, media and brands in ways that would generate substantial demand for data and analytics about that interaction. The growing adoption of digital technologies also allowed measurement of the behavior of consumers' online activities. Based on this vision, we built a global opt-in panel that provided insight into online activities. Over the years we have enhanced our product offerings by uniting panel data with census-level data from website tags and other sources, and we expanded our presence in various markets. We also have access to millions of television and video on demand ("VOD") screens and the ability to measure box office results from movie screens across the world.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2021, we acquired Shareablee, Inc. ("Shareablee"), allowing us to expand our Media Metrix® and Video Metrix® currencies to include Shareablee's social media engagement and video insights, in order to bridge the industry gap of traditional digital and social measurement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Media Measurement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approach to measuring media consumption addresses the ubiquitous nature of media content and the fragmentation caused by the variety of platforms and technologies used to access such content. Advertising exposure and effectiveness is another rapidly changing and fragmented area where we apply scale for validation and campaign measurement across devices, platforms and ecosystem technology providers. We believe this fragmentation presents major challenges to using legacy measurement systems that are comprised of relatively small panels of cooperating consumers or are limited to specific media platforms. Our products and services are built on measurement and analytic capabilities comprised of broad-based data collection, proprietary databases, internally developed software and a computational infrastructure to measure, analyze and report on digital, television and movie activity at the level of granularity that we believe the media and advertising industries need.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Collection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collection methods illustrate our extensive data sourcing:</w:t>
      </w:r>
    </w:p>
    <w:p>
      <w:pPr>
        <w:spacing w:after="0" w:line="90"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data from proprietary consumer panels that measure the use of computers, tablets and smartphones that access the internet. These panelists have agreed to install our passive metering software on their devices, home network or both.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Comscore's Digital Census Data is our census digital network whereby content publishers share information with us. That sharing includes direct integrations with the publishers, as well as publishers' implementation of our software code (referred to as "tagging") on their websites, in mobile applications and video players to provide us usage information.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certain demographic and behavioral mobile and panel data from third-party data providers.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television viewership information from satellite, telecommunications, connected (Smart) TV and cable operators covering tens of millions of television and VOD screens.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measure gross receipts and attendance information from movie screens across the world.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integrate our digital and television viewership information with other third-party datasets that include consumer demographic characteristics, attitudes, lifestyles and purchase behavior.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integrate many of our services with programmatic advertising platforms.</w:t>
      </w:r>
    </w:p>
    <w:p>
      <w:pPr>
        <w:spacing w:after="0" w:line="63" w:lineRule="exact"/>
        <w:rPr>
          <w:rFonts w:ascii="Times New Roman" w:cs="Times New Roman" w:eastAsia="Times New Roman" w:hAnsi="Times New Roman"/>
          <w:sz w:val="18"/>
          <w:szCs w:val="18"/>
          <w:color w:val="auto"/>
        </w:rPr>
      </w:pPr>
    </w:p>
    <w:p>
      <w:pPr>
        <w:ind w:left="660" w:hanging="328"/>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knowledgeable in-house industry analysts that span verticals such as pharmaceuticals, media, finance, consumer packaged goods and political information to add value to our data.</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created an opt-in Total Home Panel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can capture data that runs through a home's internet connection. This expands our intelligence to include such activity as game console and Internet of Things ("IOT") device usage.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content and advertising data from major social platforms for measurement, audience, and lift analysis.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Science and Management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to integrate, manage and transform massive amounts of data is core to our company. We continue to invest in technologies to enable large-scale measurement with protection of consumer privacy and attractive economics. Our systems contain multiple redundancies and advanced distributed processing technologies. We have created innovations such as:</w:t>
      </w:r>
    </w:p>
    <w:p>
      <w:pPr>
        <w:spacing w:after="0" w:line="39"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Unified Digital Measurement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methodology, which allows us to combine person-centric panel data with website server data. We believe this gives our customers greater accuracy, granularity and relevance in audience measurement.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TV measurement systems, underpinned by multiple patents, which enable us to provide a consistent measurement of TV audience sizes across national, local, and addressable television to customers evaluating programming as well as customers selling and buying TV advertising.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deduplicate audiences across platforms, which is based on direct observations within our consumer panel and census data combined with proprietary data science. This deduplication allows us to measure the reach and frequency of advertising and content exposure across platforms and over time.</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capture the full content of a website or app session, which allows us to measure activity beyond page views such as purchase transactions, application submissions and product configurations.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harness the power of artificial intelligence, or AI, to intelligently contextualize massive amounts of web and video content, which allows us to inform targeted and brand-safe advertising.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Delivery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deliver our products and services through diverse methods to meet the needs of our customers. These include Software-as-a-Service ("SAAS") delivery platforms, application programming interfaces, data feeds that integrate directly with customer systems whether in-house or via data collaboration/data clean room environments, and integrations with advertising technology providers such</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ad servers, customer and data management platforms, supply-side platforms, and demand-side platforms that enable data management, ad management and programmatic ad trading.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and services help our customers reach audiences on the right platform, service the best creative content, and gain the right insights that can help marketers understand audience preferences. We do this by measuring audiences and consumer behavior across media platforms, while offering validation of advertising delivery and its effectiveness. Our customers include:</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national television broadcasters and content owners;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operators including cable companies, mobile operators and internet service providers;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of streaming video content;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content publishers and social media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technology companies that aggregate supply and demand side inventory for sale to end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agencies, including holding companies and independent agencies;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 studios and movie theater operators;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 companies, including investment firms, consumer banks and credit card issuers;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retailers of consumer products such as consumer packaged goods, pharmaceuticals, automotive and electronics;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and internet technology companies;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campaigns and related organizations.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and services are organized around two solution groups:</w:t>
      </w:r>
    </w:p>
    <w:p>
      <w:pPr>
        <w:spacing w:after="0" w:line="90" w:lineRule="exact"/>
        <w:rPr>
          <w:sz w:val="20"/>
          <w:szCs w:val="20"/>
          <w:color w:val="auto"/>
        </w:rPr>
      </w:pPr>
    </w:p>
    <w:p>
      <w:pPr>
        <w:ind w:left="660" w:hanging="328"/>
        <w:spacing w:after="0" w:line="254" w:lineRule="auto"/>
        <w:tabs>
          <w:tab w:leader="none" w:pos="5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Also included in this solution group are our transaction-based cross-platform products: Proximic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by Comscore ("Proximic"), our Activation solution suite, and Cross-Platform Campaign Results ("CCR"), along with our subscription-based cross-platform product, Comscore Content Measurement ("CCM").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spacing w:after="0" w:line="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categorize our revenue along these two solution groups; however, our cost structure is tracked at the corporate level and not by our solution groups. These shared costs include employee costs, purchased data, operational overhead, data storage and technology that supports multiple products in both solution groups.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&amp; Ad Measurement - Syndicated Audience products and services include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 TV - National, which combines TV viewing information with marketing segmentation and consumer databases for enhanced audience intelligence. Comscore TV - National data is also used in analytical applications to help customers better understand the performance of network advertising campaigns.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 TV - Local, which allows customers to better understand consumer viewing patterns and characteristics across local TV stations and cable channels in their market(s) to promote viewership of a particular station and negotiate inventory pricing based on the size, value and relevance of the audience.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Metrix Multi-Platform and Mobile Metrix, which measure websites and applications on computers, smartphones and tablets across dozens of countries, are leading currencies for online media planning and enable customers to analyze audience size, reach, engagement, demographics and other characteristics. Publishers use Media Metrix Multi-Platform and Mobile Metrix to demonstrate the value of their audiences and understand market dynamics, and advertisers and their agencies use Media Metrix Multi-Platform and Mobile Metrix to plan and execute effective marketing and content campaigns. These products also provide competitive intelligence such as cross-site visiting patterns, traffic source/loss reporting and local market trends.</w:t>
      </w:r>
    </w:p>
    <w:p>
      <w:pPr>
        <w:spacing w:after="0" w:line="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Metrix Multi-Platform, which delivers unduplicated measurement of digital video consumption across computer, smartphone, tablet and CTV devices and provides TV-comparable reach and engagement metrics, as well as audience demographics.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Metrix, which provides an understanding of consumer lifestyle, buying and other consumption habits, online and offline, by integrating attitudes and interests with online behavior and provides customers with insight into patterns and trends needed to develop and execute advertising and marketing campaigns.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Essentials, which provides multichannel video programming distributors and content providers with transactional tracking and reporting based on millions of television screens, enabling our customers to plan advertising campaigns that more precisely target consumers watching on-demand video content.</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Movie Solutions, including Box Office Essentials and International Box Office Essentials, which provide detailed measurement of domestic and international theatrical gross receipts and attendance, with movie-specific information across the globe; PostTrak, which is an exit polling service that reports audience demographics and the aspects of each title that trigger interest and attendance; and Swift, which is an electronic box office reporting system that facilitates the flow of reconciled theater-level ticket transactions.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Hollywood Software Suite, including Comscore Theatrical Distribution System ("TDS"), Comscore Exhibitor Management System ("EMS"), Comscore Enterprise Web, and Cinema Auditorium Control Engine ("ACE"). Comscore TDS is an advanced software to help manage theatrical distribution worldwide. Comscore EMS provides a virtual staff of booking assistants and accountants working to consolidate point-of-sale data. Comscore Enterprise Web gives circuit managers an over-the-shoulder look at operations inside their theaters. Cinema ACE is a theater management system that drives productivity and efficiency across digital cinema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&amp; Ad Measurement - Cross-Platform products and services include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Activation Solutions (branded as Proximic), including Audience Activation and Content Activation. Comscore Audience Activation offers targeting with demographics and cross-screen behaviors for digital, mobile and CTV campaigns. Comscore Content Activation provides a robust set of pre-bid inventory filters to help marketers and media companies achieve brand-safe, relevant campaign delivery across desktop, mobile, podcasts, and CTV. Within the Content Activation suite, Predictive Audiences provides contextually delivered, ID-free segments based on granular audience behaviors.</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Cross-Platform Campaign Results, or CCR, which provides verification and measurement of video advertising delivered via mobile, desktop, digital, linear TV and CTV, resulting in unduplicated reporting that enables ad buyers and sellers to negotiate and evaluate campaigns across media platforms.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Comscore Content Measurement, or CCM, which measures the audiences for content across linear TV, CTV and digital, providing unduplicated reporting that allows the buyers and sellers of advertising to understand the total reach of a given program or piece of content across the platforms where it is available.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Insight Solutions products and services include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Comscore Marketing Solutions, which provide analytics that integrate online visitation and advertising data, TV viewing, purchase transactions, attitudinal research and other information assets. These custom deliverables are designed to meet client needs in specific industries such as automotive, financial services, media, retail, travel, telecommunications and technology. Applications include path-to-purchase analyses, competitive benchmarking, market segmentation studies, and branded content analytics.</w:t>
      </w:r>
    </w:p>
    <w:p>
      <w:pPr>
        <w:spacing w:after="0" w:line="17"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Models, which measure the impact of advertising on a brand across multiple behavioral and attitudinal dimensions such as brand awareness, purchase intent, online visitation, online and offline purchase behavior and retail store visitation, enabling customers to fine tune campaign strategy and execution.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Home Panel Suite, including CTV Intelligence and Connected Home, which capture CTV and IOT device usage and content consumption. Comscore Connected Home enables users to better understand consumer engagement with technology and media by measuring behavior across network and router-connected devices in the home. Comscore CTV Intelligence provides clients with critical insight into consumer streaming activity on TV-connected devices, including smart TVs, streaming sticks and boxes, and gaming consoles.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Analytics, which measure various types of consumer insights including brand health metrics.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span our business of media and cross-platform measurement, encompassing data collection, data science, analytical application development and product delivery. We continue to focus on enhancing our coverage and scale, precision and granularity across diverse types of media, devices and geographies using our census, panel and other data assets as well as evolving AI capabilities.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our research and development initiatives include:</w:t>
      </w:r>
    </w:p>
    <w:p>
      <w:pPr>
        <w:spacing w:after="0" w:line="10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recruiting methods and software applications, including through the use of AI tools;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technologies to manage, stage and deliver cross-platform data and analytics through traditional web-based user interfaces and via integration with customer systems;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solutions to continue to measure the online media space while honoring increased privacy concerns, including the development of industry-compatible, interoperable methodologies designed to maintain functionality as browser, regulatory and legal environments change;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new methodologies to measure person-level TV and digital consumption at scale and across platforms;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expertise in combining multiple data assets, both to leverage single-platform datasets into representative cross-platform measurements as well as working with the data of partner companies, allowing us to enhance existing services and create new and innovative audience measurement products. These efforts include original research into the measurement of data overlaps and deduplication in the measurement of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Innovation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Engineering Products for a Privacy-Centric World</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digital measurement is centered upon using first-party panel data combined with additional information captured through census measurement and data partnerships. Historically, we have used cookies and mobile advertising IDs to provide additional context and scale to our digital audience measurement solutions, as well as to assist in more targeted measurement and reportability. The continued development of opt-in permissions and enhanced focus on consent-based measurement provide the benefit of limiting the transfer of consumer personal information, but also mean changes to data collection, storage and delivery processes. In particular, limitations on the use of cookies and similar technologies create significant challenges for products that use these technologies for data collection and measurement.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innovate and adapt our methodologies to lead the transition to a more privacy-centric world. A key component is leveraging our capabilities in panels, which we believe give us a competitive advantage in digital and cross-platform management. In parallel, our work with existing and new partners to collaborate and test emerging solutions is intended to expand the reach of our large-scale integrations. We are creating measurement innovations designed to produce stronger products engineered for privacy-centric methodologies.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Comscore Predictive Audiences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signal loss from evolving privacy laws and third-party cookie deprecation across many environments, advertisers need bold new solutions to ensure their campaigns continue to reach the right audiences without interruption. In response to this need, we launched Predictive Audiences – an ID-free targeting capability that enables advertisers to reach audiences based on granular consumer behavior through privacy-friendly contextual signals. This solution delivers scale and precision beyond what was previously available in the industry, and can be used across digital, mobile, and CTV campaigns.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Cross-Platform Innovation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Across a number of projects, we are innovating in cross-platform measurement of both advertising and content. Those projects include industry-wide efforts to deliver consistent cross-platform measurement of advertising as well as proprietary projects, for which we operate key components of the production pipeline. They also include the development of CCM. CCM provides deduplicated measurement of content at the title level across digital, CTV, and linear TV to provide broadcasters and advertisers a more complete view of the total audience for a given piece of content.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Measuring AI Influence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growing use and prevalence of AI tools creates an opportunity to help our clients understand how AI platforms such as ChatGPT, Copilot and Gemini are fundamentally reshaping aspects of the consumer journey. In addition to offering visibility into how generative AI is being adopted and used, we are developing methodologies to help our customers quantify the downstream impact of AI use on website visitation, benchmark against their competitors, and optimize AI visibility.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intellectual property assets are important to protect our business. We protect our innovations and products with patents, trademarks, copyrights, trade secrets, and other intellectual property. In particular, we file for and seek to acquire patent rights for our innovations and we continue to seek to enhance our patent portfolio through targeted and strategic patent filings and licensing opportunities. We believe that we own the material trademarks used in connection with the marketing, distribution and sale of our products, both domestically and internationally. We will continue to pursue intellectual property opportunities in areas and technologies that we deem to be strategic and appropriate for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patents extend across our data capture and processing techniques and include the following:</w:t>
      </w:r>
    </w:p>
    <w:p>
      <w:pPr>
        <w:spacing w:after="0" w:line="104"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Collection</w:t>
      </w:r>
      <w:r>
        <w:rPr>
          <w:rFonts w:ascii="Times New Roman" w:cs="Times New Roman" w:eastAsia="Times New Roman" w:hAnsi="Times New Roman"/>
          <w:sz w:val="18"/>
          <w:szCs w:val="18"/>
          <w:color w:val="auto"/>
        </w:rPr>
        <w:t xml:space="preserve"> - metering such as biometrics and audio fingerprinting, tagging such as video viewability, browser optimization, IP obfuscation and TV-off measurement methodology.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Processing</w:t>
      </w:r>
      <w:r>
        <w:rPr>
          <w:rFonts w:ascii="Times New Roman" w:cs="Times New Roman" w:eastAsia="Times New Roman" w:hAnsi="Times New Roman"/>
          <w:sz w:val="18"/>
          <w:szCs w:val="18"/>
          <w:color w:val="auto"/>
        </w:rPr>
        <w:t xml:space="preserve"> - traffic and content categorization, demographic attribution, ad effectiveness measurement, data overlap and fusion, invalid traffic detection, data weighting, projection and processing of return path data, and personification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viewership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trademark protection for our products and services. We rely on trademarks and service marks to protect our intellectual property assets and believe these are important to our marketing efforts and the competitive value of our products and services. We have registered and maintained trademarks around the globe. This 10-K also contains trademarks and trade names of our Company and our subsidiaries. All trademarks and trade names appearing in this 10-K are the property of their respective holders.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data from third-party providers across the media platforms that we measure. Our licenses include agreements with satellite, telecommunications and cable operators covering television and VOD viewership data, third-party scheduling datasets and data matching partners, and agreements with providers of demographic and behavioral mobile and panel data. See "Our Approach to Media Measurement" above for a discussion of our data sourcing.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audience and advertising measurement products is highly competitive and is evolving rapidly. We compete primarily with other providers of media intelligence and related analytical products and services. We also compete with providers of marketing services and solutions, with full-service survey providers and with internal solutions developed by customers and potential customers. Our principal competitors include:</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Full-service market research firms;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Television measurement competitors, including traditional incumbents and emerging startups;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audience ratings for TV, radio and other media that have extended or may extend their current services, particularly in certain international markets, to the measurement of digital media;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advertising companies that provide measurement of online ad effectiveness and ad delivery used for billing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digital advertising technology point solutions;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audience and content measurement, programmatic targeting and competitive intelligence across digital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services companies that provide customers with detailed information about behavior on their own websites;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report Smart TV data;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provide consumers with TV and digital services, including cable and satellite TV providers.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based on the following principal factors:</w:t>
      </w:r>
    </w:p>
    <w:p>
      <w:pPr>
        <w:spacing w:after="0" w:line="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accurate measurement of digital audiences across multiple digital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TV audience measurement based on large-scale data that increases accuracy and reduces variability;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deduplicated audience and content measurement across platforms;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actual, accurate and reliable data regarding audience behavior and activity in a timely manner, including the ability to maintain large and statistically representative panels;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reliable and objective third-party data that, as needed, is able to receive industry-accepted accreditation;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adapt product offerings to emerging digital media technologies and standards;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depth of products and their flexibility and ease of use;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data across various industry verticals and geographic areas and expertise across these verticals and in these geographic areas;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products that meet the changing needs of customers, particularly in the evolving privacy environment.</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compete favorably on these factors and that our vision and investments in the future of media measurement across platforms will deliver products and services that our customers will continue to trust and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Privacy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security and privacy laws apply to our various businesses. We have programs in place to detect, contain and respond to data security incidents; however, increasing technology risks or unauthorized users who successfully breach our network security could misappropriate or misuse our proprietary information or cause interruptions in our services. Many countries have data protection laws with different requirements than those in the U.S., and many states in the U.S. have or are developing their own data protection and privacy requirements, including requirements governing the use and disclosure of AI capabilities. This evolving framework has resulted, and may continue to result, in inconsistent requirements and differing interpretations across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privacy advocates and class action attorneys are increasingly scrutinizing how companies collect, process, use, store, share and transmit personal data. A number of laws have come into effect over the past decade, and there are proposals pending before federal, state and foreign legislative and regulatory bodies that have affected and are likely to continue to affect our business. For example, the European Union's ("EU") General Data Protection Regulation, or GDPR, has imposed more stringent EU data protection requirements with greater penalties for noncompliance. In addition, regulators in the EU, the U.S. and elsewhere have increasingly focused on transparency, consent, consumer choice and the collection of data using tracking technologies. In the EU, cross-border data transfers are increasingly scrutinized to ensure compliance, and there have been expanded enforcement efforts in this area. A number of U.S. states have also adopted comprehensive privacy laws governing the collection and use of personal information, with more expected in 2026 and beyond. These U.S. federal and state and foreign laws and regulations, which in some cases can be enforced by private parties in addition to government entities, are constantly evolving and impose new and complex requirements on our business. Failure to comply with these laws or other privacy, data collection, data transfer, disclosure or consent requirements could result in substantial penalties and reputational harm.</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monitor actions by the Federal Communications Commission, the Federal Trade Commission, and their state and foreign counterparts, including regulatory developments relating to data security, privacy and AI as well as developments affecting Internet Service Providers, advertisers and other industry participants more broadly.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of human capital is essential to the success of our company, and our management team is actively engaged in developing a strong, engaged employee base to execute on our business plans.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we had approximately 1,200 employees. Our employee population, which is comprised 93% of full-time employees and 7% of part-time employees, is dispersed across the globe, as outlined below as of December 31,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of Employees</w:t>
            </w:r>
          </w:p>
        </w:tc>
      </w:tr>
      <w:tr>
        <w:trPr>
          <w:trHeight w:val="23"/>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Asia-Pacific Rim</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r>
      <w:tr>
        <w:trPr>
          <w:trHeight w:val="210"/>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percentage of employees in different functional areas as of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Employees</w:t>
            </w:r>
          </w:p>
        </w:tc>
      </w:tr>
      <w:tr>
        <w:trPr>
          <w:trHeight w:val="23"/>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and Technology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Service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Movies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 &amp; Retention</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attraction and retention of talent is critical to the success of our business. We focus on building employee engagement; developing a positive culture of trust, transparency, learning, and involvement; and providing competitive pay and benefits structures to attract and retain employees and protect the intellectual capital that we have built. We regularly review our employee turnover and satisfaction rates, and develop strategies and tactics to improve employee engagement and retention. On average, employee tenure is approximately six years, and more than 10% of our employees have been employed by our company for more than ten years.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attract and retain the best talent from a diverse group of sources around the world, in order to meet our current and future staffing needs. In addition to a robust employee referral practice and independent outreach, we have developed relationships with universities, professional associations, and industry alliances to further increase our outreach and talent pool. In 2025, our company conducted hiring in North America, Europe, India, and Latin America.</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feasible within the countries in which we operate, we provide a competitive and varied portfolio of healthcare, wellness, financial, and other benefit offerings to suit the diverse needs and lifestyles of our employees. Within the United States, more than 80% of our eligible employee population was enrolled in one of our healthcare plans as of December 31, 2025.</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virtual, on-demand learning opportunities to all employees, and we also develop and deliver custom learning programs to meet specific business needs and employee interests. In 2025, approximately 74% of our employees participated in learning activities through the on-demand portal.</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strong labor practices and employee-friendly policies that enable a culture of trust, collaboration, and compliance. Our employment standards prioritize respect for the dignity and worth of each person. Employees have multiple avenues through which to express opinions, ideas, and concerns, which enables an open culture of communication and inclusion; our policies require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complaints are investigated and any findings are addressed. Our employees are not represented by labor unions outside of those few countries where union representation is a customary practice of doing business. We operate a Compliance Management System, a key component of which is mandatory training for all employees in areas including workplace harassment and our code of business conduct.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 Environment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created a work environment that represents our commitment to safety and wellness. We provide both system and technology capability as well as personal support, including wellness activities and resources, social activities, and support for working parents. Supporting the person, not just the "worker," allows us to maintain business operations without endangering employees or customers. We had no safety incidents reported in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and Inclusion</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build and develop a workforce that reflects diversity, equity, and inclusion at all levels of the organization in accordance with applicable law. Our view is that our culture of involvement and appreciation of different backgrounds and perspectives enables us to more fully develop and leverage the strengths of our workforce to serve our customers and meet our business objectives. We place a high value on inclusion and employee-led opportunities across the Company, including Employee Resource Groups ("ERGs") which are sponsored by senior leadership but are developed and maintained by diverse groups of employees who share or champion common interests, representations, or causes. Membership in ERGs is open to all employees. We currently have ERGs in support of LGBTQ+ persons, people of color, women, emerging professionals, parents and caregivers, and remote workers. We have amplified our conversation and actions relating specifically to inclusion and diversity over recent years, implementing learning and development initiatives, additional ERGs, and expanded employee gatherings and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Locations and Geographic Areas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located around the globe with employees in 14 countries. Our primary geographic market for employees is the United States, followed by Asia, Europe, Latin America and Canada. For information with respect to sales by geographic markets, refer to </w:t>
      </w:r>
      <w:r>
        <w:rPr>
          <w:rFonts w:ascii="Times New Roman" w:cs="Times New Roman" w:eastAsia="Times New Roman" w:hAnsi="Times New Roman"/>
          <w:sz w:val="18"/>
          <w:szCs w:val="18"/>
          <w:u w:val="single" w:color="auto"/>
          <w:color w:val="0000FF"/>
        </w:rPr>
        <w:t>Footnote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the Notes to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and Executive Director</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Jonathan (Jon) Carpenter </w:t>
      </w:r>
      <w:r>
        <w:rPr>
          <w:rFonts w:ascii="Times New Roman" w:cs="Times New Roman" w:eastAsia="Times New Roman" w:hAnsi="Times New Roman"/>
          <w:sz w:val="18"/>
          <w:szCs w:val="18"/>
          <w:color w:val="auto"/>
        </w:rPr>
        <w:t>has served as our Chief Executive Officer since July 2022 and as a director since June 2024. Mr. Carpenter was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Treasurer from November 2021 to July 2022. He previously served as Chief Financial Officer of Publishers Clearing House, a direct marketing and media company, from June 2016 until November 2021. Prior to Publishers Clearing House, he served in divisional CFO roles for Nielsen Company, Sears Holdings and NBC Universal. He began his career with General Electric in the GE Financial Management Program. Mr. Carpenter holds a bachelor's degree in economics from the University of Vermont.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Stephen (Steve) Bagdasarian </w:t>
      </w:r>
      <w:r>
        <w:rPr>
          <w:rFonts w:ascii="Times New Roman" w:cs="Times New Roman" w:eastAsia="Times New Roman" w:hAnsi="Times New Roman"/>
          <w:sz w:val="18"/>
          <w:szCs w:val="18"/>
          <w:color w:val="auto"/>
        </w:rPr>
        <w:t>has served as our Chief Commercial Officer since November 2023 and was our Executive Vice President, Growth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2022 to November 2023. Mr. Bagdasarian previously served as Chief Operating Officer, Digital (January 2022 – October 2022), General Manager, Media and Strategy (July 2019 – December 2021) and General Manager, Liquid Wireless (July 2014 – July 2019) of Publishers Clearing House, a direct marketing and media company. Prior to Publishers Clearing House, he held a number of senior business development, strategy and marketing roles with digital technology companies. Mr. Bagdasarian is a member of TBD Angels, an angel investor group, and has invested and served as an advisor to several early-stage digital technology companies. He holds a bachelor's degree from College of the Holy Cross and a master's degree in business administration from Babson F.W. Olin Graduate School of Business.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Mary Margaret Curry </w:t>
      </w:r>
      <w:r>
        <w:rPr>
          <w:rFonts w:ascii="Times New Roman" w:cs="Times New Roman" w:eastAsia="Times New Roman" w:hAnsi="Times New Roman"/>
          <w:sz w:val="18"/>
          <w:szCs w:val="18"/>
          <w:color w:val="auto"/>
        </w:rPr>
        <w:t>has served as our Chief Financial Officer and Treasurer since July 2022 and as our Chief Accounting Officer since December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Curry joined Comscore in 2011 and has served in roles of increasing scope and responsibility since then, including as Global Tax Director (August 2011 to July 2015), Senior Director of Global Tax Compliance and Reporting (July 2015 to May 2018), Vice President of Tax and Treasury (May 2018 to November 2020) and Senior Vice President and Controller (November 2020 to December 2021). Prior to joining Comscore, she spent nine years with KPMG. Ms. Curry holds bachelor's and master's degrees in accounting from East Carolina University.</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Gregory (Greg) Dale </w:t>
      </w:r>
      <w:r>
        <w:rPr>
          <w:rFonts w:ascii="Times New Roman" w:cs="Times New Roman" w:eastAsia="Times New Roman" w:hAnsi="Times New Roman"/>
          <w:sz w:val="18"/>
          <w:szCs w:val="18"/>
          <w:color w:val="auto"/>
        </w:rPr>
        <w:t>has served as our Chief Operating Officer since August 2022 and was our General Manager, Digital from December 2021 to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Mr. Dale previously served as Chief Operating Officer of Shareablee, Inc., a social media marketing analytics company, from July 2018 through our acquisition of Shareablee in December 2021. Prior to Shareablee, he was Chief Operating Officer of Persado, an artificial intelligence-based marketing content platform, from 2016 to 2018. Mr. Dale previously held senior roles with Comscore from 1999 to 2016, and prior to that, worked with data and analytics firm Information Resources, Inc. He holds a bachelor's degree from Purdue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Non-Executive Directors</w:t>
      </w:r>
    </w:p>
    <w:p>
      <w:pPr>
        <w:spacing w:after="0" w:line="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Robert (Bob) Davenport </w:t>
      </w:r>
      <w:r>
        <w:rPr>
          <w:rFonts w:ascii="Times New Roman" w:cs="Times New Roman" w:eastAsia="Times New Roman" w:hAnsi="Times New Roman"/>
          <w:sz w:val="18"/>
          <w:szCs w:val="18"/>
          <w:color w:val="auto"/>
        </w:rPr>
        <w:t>has served as director since December 2025. Mr. Davenport is Head of Global Corporate Credit and Distressed Debt and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Cerberus Capital Management and Cerberus California, LLC. He joined Cerberus in 1996 and is responsible for overseeing and managing the firm's investments in stressed and distressed debt on a global basis. Prior to Cerberus, he was a principal at Vestar Capital Partners, where he was responsible for identifying, analyzing and executing leveraged buyout opportunities. Previously, he worked in the mergers and acquisitions group at Drexel Burnham. Mr. Davenport graduated from the University of California. He previously served as a member of the Board of Trustees for the Crossroads School for Arts and Sciences and Heal the Bay. Mr. Davenport brings over 30 years of financing and M&amp;A experience to our Board.</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Kline </w:t>
      </w:r>
      <w:r>
        <w:rPr>
          <w:rFonts w:ascii="Times New Roman" w:cs="Times New Roman" w:eastAsia="Times New Roman" w:hAnsi="Times New Roman"/>
          <w:sz w:val="18"/>
          <w:szCs w:val="18"/>
          <w:color w:val="auto"/>
        </w:rPr>
        <w:t>has served as a director since March 2021 and as Chairman of the Board since April 2025. He most recently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at Charter Communications, a communications and media company, and President of Spectrum Reach, the advertising sales division of Charter. Mr. Kline joined Charter in 2015 and provided strategic leadership to guide the company in both the traditional and advanced TV advertising space until his retirement in 2025. Mr. Kline joined Charter from Visible World (now FreeWheel), where he served as President and COO directing their household addressable sales and programmatic advertising efforts. Earlier in his career, he served as President and COO of Cablevision Media Sales (now Altice Media Solutions) for more than 17 years. Mr. Kline previously served on the board of directors for the Video Advertising Bureau and Canoe and as chairman of the board of directors for private company Blockgraph. He received a B.A. in a personalized study program focusing on marketing, finance, accounting and management from Ohio State University. Mr. Kline is a pioneering leader in the traditional and advanced TV advertising space and brings valuable relationships and perspective to our Board.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William (Bill) Livek </w:t>
      </w:r>
      <w:r>
        <w:rPr>
          <w:rFonts w:ascii="Times New Roman" w:cs="Times New Roman" w:eastAsia="Times New Roman" w:hAnsi="Times New Roman"/>
          <w:sz w:val="18"/>
          <w:szCs w:val="18"/>
          <w:color w:val="auto"/>
        </w:rPr>
        <w:t>has served as our Vice Chairman since January 2016. Mr. Livek was our Chief Executive Officer from November 2019 to July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President from January 2016 to May 2018. He previously served as Vice Chairman and Chief Executive Officer of Rentrak Corporation, a media measurement and consumer targeting company, from 2009 until our merger with Rentrak in 2016. Prior to Rentrak, Mr. Livek was founder and Chief Executive Officer of Symmetrical Capital, an investment and consulting firm; Senior Vice President, Strategic Alliances and International Expansion, of Experian Information Solutions, Inc., a provider of information, analytical and marketing services; and co-President of Experian's subsidiary Experian Research Services. Mr. Livek has served on the board of directors of Red Violet, Inc. since January 2024 and the Advertising Research Foundation ("ARF") since July 2022, and prior to that was a member of the ARF board of trustees. He also serves on the board of directors of private companies Tenetic LLC, Adstra (formerly ALC) and CivicScience. Mr. Livek holds a B.S. degree in Communications Radio/Television from Southern Illinois University. Mr. Livek brings substantial industry experience, customer relationships and audience measurement expertise to our Board.</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Matthew (Matt) McLaughlin </w:t>
      </w:r>
      <w:r>
        <w:rPr>
          <w:rFonts w:ascii="Times New Roman" w:cs="Times New Roman" w:eastAsia="Times New Roman" w:hAnsi="Times New Roman"/>
          <w:sz w:val="18"/>
          <w:szCs w:val="18"/>
          <w:color w:val="auto"/>
        </w:rPr>
        <w:t>has served as a director since June 2024. Mr. McLaughlin is a retired advertising technology executive and Naval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he served as Chief Operating Officer of DoubleVerify Holdings, Inc., a software platform for digital media measurement and analytics, from 2011 to March 2022. As COO of DoubleVerify, Mr. McLaughlin directed its product, engineering and sales operations activity, including managing over half the company's employees. He served as a Senior Advisor at DoubleVerify from March 2022 to July 2022. Prior to joining DoubleVerify, Mr. McLaughlin served as President and Chief Operating Officer of CUNet, LLC, an online marketing agency and software subsidiary of Nelnet, Inc., from 2008 to 2011. Earlier in his career, he served as General Manager of Audience and Media at BDMetrics Inc., an information technology company; Vice President of Performance Media at VNC Communications, Inc (d/b/a Performics), a performance marketing subsidiary of DoubleClick Inc.; Senior Vice President of Operations at Heavy Hammer, Inc., a technology company; Director of Business Technology, Search Marketing and Email &amp; Affinity Marketing at Advertising.com, Inc., an online advertising company that was acquired by AOL, Inc.; and an Applications Technology Sales Consultant for Oracle Corporation, a multinational computer technology company. Formerly, Mr. McLaughlin served as a U.S. Navy Submarine Officer from 1992 to 2000. Mr. McLaughlin received a M.A. (Cantab) in Natural Science from the University of Cambridge and B.S. in Computer Science from the United States Naval Academy.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Jeffrey (Jeff) Murphy </w:t>
      </w:r>
      <w:r>
        <w:rPr>
          <w:rFonts w:ascii="Times New Roman" w:cs="Times New Roman" w:eastAsia="Times New Roman" w:hAnsi="Times New Roman"/>
          <w:sz w:val="18"/>
          <w:szCs w:val="18"/>
          <w:color w:val="auto"/>
        </w:rPr>
        <w:t>has served as a director since April 2024. Mr. Murphy is Senior Vice President, Corporate Finance and Development at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Inc., a communications and media company, where he oversees debt and equity capital markets strategy and execution, treasury, risk management, mergers and acquisitions, and other corporate development. Prior to joining Charter in June 2021, Mr. Murphy spent more than two decades (from 1995 to 2020) with Credit Suisse Group (and predecessor entities), a financial services company, most recently as Vice Chairman of the Investment Banking and Capital Markets division and a Managing Director in the Global Technology, Media and Telecom (TMT) group. Prior to his investment banking career Mr. Murphy worked in consumer markets at MCI Communications. He holds an M.B.A. from Harvard Business School and a B.S. in business administration from Georgetown University. Mr. Murphy brings to our Board substantial capital markets, M&amp;A and corporate development experience.</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Brian Wendling </w:t>
      </w:r>
      <w:r>
        <w:rPr>
          <w:rFonts w:ascii="Times New Roman" w:cs="Times New Roman" w:eastAsia="Times New Roman" w:hAnsi="Times New Roman"/>
          <w:sz w:val="18"/>
          <w:szCs w:val="18"/>
          <w:color w:val="auto"/>
        </w:rPr>
        <w:t>has served as a director since March 2021. Mr. Wendling is Chief Accounting Officer and Principal Financial Officer of Liberty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Liberty Broadband Corporation, GCI Liberty and Liberty Live Holdings, Inc. He previously served as Senior Vice President and Chief Financial Officer of Liberty TripAdvisor Holdings, Inc. from January 2016 to April 2025 and served as Chief Accounting Officer and Principal Financial Officer of Qurate Retail, Inc. from January 2020 to March 2025 and Atlanta Braves Holdings, Inc. from December 2022 to August 2024. Mr. Wendling has held various positions with these companies and their predecessors since 1999. Prior to joining these companies, he worked in the assurance practice of the accounting firm KPMG. Mr.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Wendling has previously served on the boards of Fun Technologies Inc. and CommerceHub, Inc. as well as other private companies. He also currently serves on the Indiana University Accounting Advisory Board and has previously served on the Clothes to Kids of Colorado and Rocky Mountain PBS boards. He received his Bachelor of Science degree in accounting from Indiana University. Mr. Wendling brings over 30 years of finance, accounting, M&amp;A, public reporting and compliance experience to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periodic and current reports along with amendments to such reports available, free of charge, on our website as soon as reasonably practicable after such material is electronically filed with or furnished to the Securities and Exchange Commission ("SEC"). Our website address is www.comscore.com, and such reports are made available free of charge under "SEC Filings" in the Investor Relations section of our website. Information contained on our website is not part of this 10-K and is not incorporated herein by reference.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read our SEC filings, including this 10-K as well as our other periodic and current reports, on the SEC's website at www.sec.gov.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substantial risk of loss. You should carefully consider the following risk factors, together with all of the other information included in this 10-K, before you decide whether to invest in our stock. The risks identified below could materially and adversely affect our business, financial condition and operating results. In that case, the trading price of our Common Stock could decline, and you could lose part or all of your investment. The risks described below are not the only risks we face. Additional risks and uncertainties not currently known to us or that we currently deem to be immaterial also may materially and adversely affect our business, financial condition and operating results, and may result in the loss of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Technologies</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could continue to impact demand for our products and increase our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market for our products is highly competitive, and our revenues could decline if we cannot compete effectively.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If we are unable to provide complete analytics, our ability to maintain and grow our business will be harmed.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We depend on third parties for data and hosting/delivery services that are critical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If we fail to respond to technological developments or evolving industry standards, our products may become obsolete or less competitive.</w:t>
      </w:r>
    </w:p>
    <w:p>
      <w:pPr>
        <w:spacing w:after="0" w:line="62"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may be harmed if we deliver inaccurate or untimely information products, change our methodologies or the scope of information we collect, or are unable to maintain sufficient panels.</w:t>
      </w:r>
    </w:p>
    <w:p>
      <w:pPr>
        <w:spacing w:after="0" w:line="2"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We derive a significant portion of our revenues from subscription-based products, and our customers could terminate, reduce or fail to renew their subscriptions.</w:t>
      </w:r>
    </w:p>
    <w:p>
      <w:pPr>
        <w:spacing w:after="0" w:line="2" w:lineRule="exact"/>
        <w:rPr>
          <w:rFonts w:ascii="Arial" w:cs="Arial" w:eastAsia="Arial" w:hAnsi="Arial"/>
          <w:sz w:val="18"/>
          <w:szCs w:val="18"/>
          <w:color w:val="auto"/>
        </w:rPr>
      </w:pPr>
    </w:p>
    <w:p>
      <w:pPr>
        <w:ind w:left="660" w:right="20" w:hanging="328"/>
        <w:spacing w:after="0" w:line="280"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Our financial results may suffer if we are unable to retain or add large customers or if we cannot persuade customers to substitute our products for incumbent providers.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Our strategic transactions with other companies may not be successful and may divert our management's attention.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System failures, security breaches, delays in system operations, or failure to pass customer or partner security reviews may harm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activities and cost-reduction initiatives may not deliver the expected results and could disrupt our business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be able to adequately retain and hire qualified personnel.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Results of Operations</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the expectations of securities analysts or investors, which could cause our stock price to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generate sufficient cash to service our debt, lease facilities and trade payables.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another impairment of goodwill or other intangible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continue to incur net losses and may not achieve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operating loss carryforwards may expire unutilized or underutilized.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Litigation and Tax Matters</w:t>
      </w:r>
    </w:p>
    <w:p>
      <w:pPr>
        <w:spacing w:after="0" w:line="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over data privacy and security, AI and data governance could materially harm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unauthorized disclosure of sensitive data could expose us to liability and damage our brand and reputation.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or foreign laws may further limit our ability to collect and incorporate media usage information in our products and impose costly requirements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potential litigation could result in substantial costs and adverse outcomes.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could assert that we are infringing their intellectual property rights, or we could be unable to protect and enforce our own intellectual property rights.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use of open source software could limit our ability to sell our products or require us to reengineer our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adverse developments in tax laws or disagreements with our tax positions in the jurisdictions where we operate.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9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susceptible to risks associated with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sanctions and export control laws could impair our ability to compete in international markets and subject us to 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currencies could have a significant effect on our operating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Structure and Financings</w:t>
      </w:r>
    </w:p>
    <w:p>
      <w:pPr>
        <w:spacing w:after="0" w:line="10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holders of our preferred stock have significant influence and rights that may conflict with the interests of our other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debt obligations and covenants could restrict our operating flexibility.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Any failure to meet our debt obligations could adversely affect our business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to support our business or meet our debt obligations, which may not be available on acceptable terms or at all.</w:t>
      </w:r>
    </w:p>
    <w:p>
      <w:pPr>
        <w:spacing w:after="0" w:line="8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Risks Related to Ownership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we may become obligated to issue under existing or future agreements may cause immediate and substantial dilution to our current stockholders.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governing documents and under Delaware law might discourage, delay or prevent a change of control or changes in our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Technologies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factors could continue to adversely affect our business and financial results.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depends on the health of the media and advertising industries in which we operate. The strength of the advertising market can fluctuate in response to the economic prospects of specific advertisers or industries, advertisers' spending priorities, and the economy in general. In recent years, macroeconomic factors including inflation, capital market disruptions, and recession concerns have caused some advertisers to reduce or delay advertising expenditures. Recent geopolitical conflicts and developments in U.S. trade policy have created additional uncertainty, contributing to further spending delays by advertisers. These delays and declines, which may continue in future periods, have had a direct impact on demand for our products, which measure advertising campaigns and audiences.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reductions in advertising spending could result in customers terminating their subscriptions for our products, delaying renewals, or renewing on terms less favorable to us. Furthermore, our custom solutions and newer products, for which we recognize revenue based on customer usage, are subject to higher fluctuations in revenue from changes in our customers' advertising budgets, platform strategies and spending. Macroeconomic factors could also increase our costs, reducing margins and preventing us from meeting our profitability goals. Finally, these factors make it more difficult for us to predict our future revenue and costs, which could result in misallocation of resources or operating inefficiencies that could harm our business. The extent of the impact of macroeconomic factors on our business is uncertain and may continue to adversely affect our operations and financial results.</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media measurement and analytics products is highly competitive, and if we cannot compete effectively, our revenues could decline and our business could be harmed.</w:t>
      </w:r>
    </w:p>
    <w:p>
      <w:pPr>
        <w:spacing w:after="0" w:line="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for audience and advertising measurement products is highly competitive and continues to evolve rapidly. We compete primarily with providers of media intelligence and related analytical products and services. We also compete with providers of marketing services and solutions, with full-service survey providers, and with internal solutions developed by customers and potential customers. In recent years, competition has intensified as a result of the entrance of new competitors, the increasing variety and number of media channels and platforms requiring measurement, and the development of new technologies, products and services in our industry to address this media fragmentation. We expect these trends to continue. Some of our competitors have substantially greater resources than we do. As a result, these competitors may be able to devote greater resources to development of systems and technologies, acquisition of data, recruitment and retention of personnel, marketing and promotional campaigns, panel retention and development, and other key areas. This may allow them to produce superior products to ours or introduce products to market faster than we can, which could impact our ability to compete effectively. In addition, some of our competitors have adopted and may continue to adopt aggressive pricing policies, including the provision of certain services at little or no cost, in order to retain or acquire customers. Furthermore, large software companies, internet platforms and database management companies may enter our market or enhance their current offerings, either by developing competing services or by acquiring our competitors, and could leverage their significant resources and pre-existing relationships with our current and potential customers. Finally, consolidation of our competitors could make it difficult for us to compete effectively. If we are unable to compete successfully against our current and future competitors, we may not be able to retain and acquire customers, and we may consequently experience a decline in revenues, reduced operating margins, loss of market share and diminished value from our products.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provide television, digital or cross-platform analytics, or if our analytics are incomplete, our ability to maintain and grow our business will be harmed.</w:t>
      </w:r>
    </w:p>
    <w:p>
      <w:pPr>
        <w:spacing w:after="0" w:line="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media and advertising industries increasingly evaluate advertising campaigns across various forms of media, the ability to measure the combined size and composition of audiences across channels and platforms is increasingly important and in demand. If we are unable to gain or maintain access to information measuring a media component or type, or if we are unable to do so on commercially reasonable terms, our ability to meet our customers' demands and our business and financial performance may be harmed. Furthermore, even if we do have access to a particular form of data, if we have insufficient technology or encounter challenges in our methodological approaches, our products may be inferior to other offerings, and we may be unable to meet our customers' demands. In such event, our business and financial performance may be harmed.</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have more leverage with data providers than we do, which may result in those providers being unwilling to provide us with access to quality data to support our products, on reasonable terms or at all. Likewise, our acquisition of data may be reliant on large digital publishers that may technologically or legally prevent access to their proprietary platforms for research or measurement purposes. Moreover, as mobile devices, technology and CTV viewing continue to proliferate, gaining and maintaining cost-effective access to mobile and CTV data has become increasingly critical, and we could face difficulty in accessing these forms of data on reasonable terms or at all. If we are unable to acquire and integrate data effectively and efficiently, or if the cost of data acquisition or integration continues to increase, our business, financial condition and results of operations will be harmed.</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data and services that are critical to our business, and our business could suffer if we cannot continue to obtain reliable data from these suppliers or if third parties place additional restrictions on our use of such data.</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data sources for information usage across the media platforms that we measure, as well as demographics about the people that use such platforms. The availability and accuracy of this data is important to the continuation and development of our products and the performance of our obligations to customers. These data suppliers, some of whom compete with us or our significant stockholders, may increase restrictions on our use of such data, undertake audits (at either our or their expense) of our use of such data, require us to implement new processes with respect to such data, fail to adhere to our quality control, privacy or security standards or otherwise satisfactorily perform services, increase the price they charge us for the data or refuse to license the data to us. Additional restrictions on third-party data could limit our ability to include that data in our products, which could lead to decreased commercial opportunities for our products as well as loss of customers, sales credits, refunds or liability to our customers. To comply with any additional restrictions, we may be required to implement certain additional technological and manual controls that could put pressure on our cost structure and could affect our pricing. Supplier consolidation and increased pricing for additional use cases could also put pressure on our cost structure and our ability to meet obligations to our customers. We may be required to enter into vendor relationships, strategic alliances, or joint ventures with some third parties in order to obtain access to the data sources that we need. If our partners do not apply rigorous standards to their data collection methodology and actions, notwithstanding our best efforts, we may receive third-party data that is inaccurate, defective, or delayed. If third-party information is not available to us on commercially reasonable terms, or is found to be inaccurate, it could harm our products, our reputation, and our business and financial performance.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respond to technological developments or evolving industry standards, our products may become obsolete or less competitive.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industries that require sophisticated data collection and processing technologies. Our future success will depend in large part on our ability to timely develop new and modify or enhance our existing products and services, including without limitation, our data collection technologies and approaches, in order to meet customer needs, add functionality and address technological advancements and evolving industry standards.</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the development of opt-in permissions and enhanced focus on consent-based measurement provide the benefit of limiting the transfer of consumer personal information, but also mean changes to our data collection, storage and delivery processes. In particular, limitations on the use of cookies, pixels and similar technologies (which we collectively refer to as "cookies") may create significant challenges for our products that use these technologies for data collection and measurement. The most common Internet browsers allow users to delete and block cookies through changes to their settings, and some browsers and software providers block cookies by default. We also maintain mechanisms for users to opt out of the collection of their information via cookies and other technologies. Any substantial reduction in the availability, use or effectiveness of cookies - whether due to user opt-outs, browser changes, regulatory action or otherwise - could negatively affect our products that use these technologies.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innovate and adapt our methodologies to address limitations on cookies and other technological challenges, our products may be negatively impacted. For example, we may be unable to report the same types of data or level of granularity as previously available; we may see breaks in historical trends or comparability of data across periods; and we may experience delays or disruptions in service delivery to our customers. If we are unable to address these issues, our products may become less competitive or obsolete.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 generally, we will need to develop new products and methodologies to address evolving technologies and standards across the universe of media, including television, online and mobile usage. However, we may be unsuccessful in identifying new product opportunities, developing or marketing new products in a timely or cost-effective manner, or obtaining the necessary access to data or technologies needed to support new products, or we may be limited in our ability to operate due to intellectual property rights held by others. In addition, our product innovations may not achieve the market penetration or price levels necessary for profitability. If we 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unable to develop and integrate timely enhancements to, and new features for, our existing methodologies or products or if we are unable to develop new products and technology that keep pace with rapid technological developments, changing industry standards or consumer preferences, our products may become obsolete, less marketable and less competitive, and our business will be harmed.</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the market for our products is characterized by changes in protocols and evolving industry standards. For example, industry associations such as the Advertising Research Foundation, the Internet Advertising Bureau, the U.S. Joint Industry Committee and the Media Rating Council as well as foreign and international industry associations have undertaken efforts to review market research methodologies across the media that we measure and/or develop minimum standards, accreditations or certifications for such research. Failure to seek or achieve accreditation or certification, delays in accreditation or certification, or adverse audit findings may negatively impact the market acceptance of our products. Meanwhile, successful accreditation, certification or audits may lead to costly changes to our procedures and methodologies, may divert development resources from other priorities, and may not result in the anticipated commercial benefits.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deliver, or are perceived to deliver, inaccurate or untimely information products.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metrics contained in our products may be viewed as an important measure of the success of certain businesses, especially those that utilize our metrics to evaluate priorities ranging from their internal operations to advertising initiatives. If the information that we provide to our customers, the media, or the public is inaccurate, or perceived to be inaccurate, whether due to inadequate methodological approaches, errors, biases towards certain available data sources or partners, disparate data sets across our products, defects or errors in data collection and processing (conducted by us or by third parties) or the systems used to collect, process or deliver data, our business may be harmed. Similarly, if the information that we provide to our customers is delayed or perceived to be untimely, our business may be harmed.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inaccuracy, perceived inaccuracy, inconsistency or delay in the data reported by us could lead to consequences that could adversely impact our operating results, including loss of customers; sales credits, refunds or liability to our customers; the incurrence of substantial costs to correct any material defect, error or inconsistency; increased insurance costs; potential litigation; interruptions in the availability of our products; diversion of development resources to improve our processes or delivery; lost or delayed market acceptance and sales of our products; and damage to our brand.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change our methodologies or the scope of information we collect.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change our methodologies, the methodologies of companies we acquire, or the scope of information we collect. Such changes may result from identified deficiencies in current methodologies, development of more advanced methodologies, changes in our business plans or in industry standards, changes in law or regulatory requirements, changes in technology used by websites, browsers, mobile applications, servers, or media we measure, integration of acquired companies or expressed or perceived needs of our customers, potential customers or partners. Any such changes or perceived changes, or our inability to accurately or adequately communicate to our customers and the media such changes and the potential implications of such changes on the data we have published or will publish in the future, may result in customer dissatisfaction, particularly if certain information is no longer collected or information collected in future periods is not comparable with information collected in prior periods. As a result of methodology changes, some of our customers that may also supply us with data may decide not to continue buying products or services from us or may decide to discontinue providing us with their data to support our products. Such customers may elect to publicly air their dissatisfaction with the methodological changes made by us, which may damage our brand and harm our reputation.</w:t>
      </w:r>
    </w:p>
    <w:p>
      <w:pPr>
        <w:spacing w:after="0" w:line="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panels of sufficient size and scope, or if the costs of establishing and maintaining our panels continue to increase, our business could be harmed.</w:t>
      </w:r>
    </w:p>
    <w:p>
      <w:pPr>
        <w:spacing w:after="0" w:line="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quality, size and scope of our research panels are important to our business. Over time, however, panel participation has declined, in part due to changes by software providers that have made it more difficult to obtain consent to participate in panels, steps taken by antivirus providers to remove third-party measurement software despite panelists' previous consent, and operating system updates (including iOS and Android) that limit the ability of third parties to measure device usage. At the same time, the difficulty and cost of recruiting new panelists have increased. Although we have taken (and continue to take) steps to mitigate the impact of these changes on our business, there can be no assurance that we will be able to maintain panels of sufficient size and scope to provide the quality of marketing intelligence that our customers demand from our products. We anticipate that the cost of traditional panel recruitment will continue to increase with the proliferation of proprietary and secure media content delivery platforms, evolving industry practices and regulatory developments, and that the difficulty in collecting these forms of data will continue to grow, which may require significant hardware and software investments, increases to our panel incentive and panel management costs, and evaluation of alternative panel resources. To the extent that any additional expenses are not accompanied by increased revenues, our operating margins may be reduced and our financial results could be adversely affected. If we are unable to maintain panels of sufficient size and scope, whether through traditional recruitment or alternative sources, we could face negative consequences, including degradation in the quality and competitiveness of our products, failure to receive accreditation or certification from industry associations, loss of customers and damage to our brand.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sales of our subscription-based products. If our customers terminate, reduce or fail to renew their subscriptions, our business could suffer.</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our syndicated products, which are typically one-year subscription-based products. Historically, these products provided us with recurring revenue due to high renewal rates among our enterprise customers. In recent years, however, we have seen declines in revenue from our syndicated audience offerings, primarily related to our national TV and syndicated digital products. If additional customers terminate their subscriptions for our products, do not renew their subscriptions, delay renewals of their subscriptions or renew on terms less favorable to us, our syndicated product revenues could continue to decline and our business could suffer.</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after the expiration of their subscription periods, and we cannot be assured that current subscriptions will be renewed at the same or higher dollar amounts, if at all. Furthermore, our custom solutions and newer products, for which revenue is recognized based on customer usage, are subject to higher fluctuations in revenue. Our customer renewal and usage rates may decline or fluctuate due to a number of factors, including customer satisfaction or dissatisfaction with our products, the costs or functionality of our products, the prices or functionality of products offered by our competitors, the health of the advertising marketplace and the industries in which we operate, mergers and acquisitions affecting our customer base (including recent and pending consolidation in the media and entertainment industries), general economic conditions or reductions in our customers' spending levels.</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upon our ability to retain existing large customers and add new large customers. To the extent we are not successful in doing so, our ability to grow revenue and attain profitability and positive cash flow may be impaired.</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sell our products to large customers and on the renewal of subscriptions and contracts with these customers in subsequent years. For the years ended 2025, 2024 and 2023, we derived 34%, 34% and 37%, respectively, of our total revenues from our top 10 customers. Uncertain economic conditions, changes in the political or regulatory environment or other factors, such as internal reorganization or changes in customer buying processes or platform usage, or dissatisfaction with our products, may cause certain large customers to terminate or reduce their subscriptions and contracts with us or may increase our costs to retain those customers. The failure or consolidation of large customer companies, including recent and pending consolidation in the media and entertainment industries, could cause further reductions in the affected companies' contracts with us. The loss of any one or more of these customers could decrease our revenues and harm our current and future operating results. The addition of new large customers or increases in sales to existing large customers may require particularly long implementation periods and other significant upfront costs, which may adversely affect our profitability or divert resources from our other priorities. To compete effectively, we have in the past been, and may in the future be, forced to offer significant discounts to maintain existing customers or acquire other large customers. As a result, new large customers or increased usage of our products by large customers may cause our profit margins to decline.</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persuade customers to buy our products in substitution for those of an incumbent services provider, our revenue growth may suffer.</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products require that we persuade prospective customers, or customers of our existing products, to buy our products in substitution for those of an incumbent service provider. In some instances, the customer may have built their systems and processes around the incumbent provider's products. Persuading such customers to switch service providers may be difficult and require longer sales cycles, affecting our ability to increase revenue in these areas. Moreover, the incumbent service provider may have the ability to significantly discount its services or enter into long-term agreements, which could further impede our ability to persuade customers to switch service providers, and accordingly, our ability to increase our revenues.</w:t>
      </w:r>
    </w:p>
    <w:p>
      <w:pPr>
        <w:spacing w:after="0" w:line="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investments in, acquisitions of, or the development of new products with assistance from, other companies or we may consider other strategic transactions, any of which may not be successful and may divert our management's attention.</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completed several strategic acquisitions, most recently our acquisition of Shareablee in 2021. We also may evaluate and enter into discussions regarding an array of potential strategic transactions, including acquiring complementary products, technologies or businesses or divesting portions of our business. An acquisition, divestiture or other strategic business relationship may involve significant operating challenges, expenditures and risks. In particular, we may encounter difficulties carving out existing operations for divestiture or integrating the operations of acquired companies, particularly if the key personnel of the acquired company choose not to be employed by us, and we may have difficulty retaining customers and partners due to changes in strategy, management or ownership. Acquisitions and divestitures may also disrupt our ongoing business, divert our resources and require significant management attention that would otherwise be available for ongoing development of our business. Moreover, we cannot guarantee that the anticipated benefits of any acquisition, divestiture or other business relationship would be realized timely, if at all, or that we would not be exposed to unknown liabilities. In connection with any such transaction, we may:</w:t>
      </w:r>
    </w:p>
    <w:p>
      <w:pPr>
        <w:spacing w:after="0" w:line="67" w:lineRule="exact"/>
        <w:rPr>
          <w:sz w:val="20"/>
          <w:szCs w:val="20"/>
          <w:color w:val="auto"/>
        </w:rPr>
      </w:pPr>
    </w:p>
    <w:p>
      <w:pPr>
        <w:ind w:left="660" w:right="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an acquired company or integrating diverse business cultures, particularly in countries where we have not previously had employees;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 including without limitation, liabilities associated with products or technologies accused or found to infringe on third-party intellectual property or contractual rights or violate existing or future privacy or security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our capital stock as part of the consideration, which has been and may be dilutive to existing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legal disputes, substantial depreciation or deferred compensation charges;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otherwise need for ongoing or future operation of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geographic markets that subject us to different laws and regulations that may have an adverse impact on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difficulties effectively separating divested assets, utilizing acquired assets or obtaining required third-party consents;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integrating the information and financial reporting systems of acquired businesses, particularly those that operated under accounting principles other than those generally accepted in the U.S. prior to the acquisition by us;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which may be on terms unfavorable to us or that we are unable to repay.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entered into relationships with certain third-party providers to expand our product offerings, and we may enter into similar arrangements in the future. These relationships and transactions sometimes involve preferred or exclusive licenses, discount pricing, provision of our products and services without charge, or investments in other businesses to expand our product development and sales capabilities.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strategic transactions may be material to our financial condition and results of operations, and though these transactions may provide additional benefits, they may not be successful or profitable immediately or in the long term. Negotiating any such transactions can be time-consuming, difficult and expensive, and our ability to close these transactions may be subject to regulatory or other approvals and other conditions that are beyond our control. We can make no assurances that any such transactions or relationships will be completed or successful. The impact of any one or more of these factors could materially and adversely affect our business, financial condition 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failures, security breaches or delays in the operation of our computer and communications systems may harm our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the efficient and uninterrupted operation of our computer and communications systems and the third-party data centers, cloud providers and SAAS platforms we use. Our ability to collect and report accurate data may be interrupted by a number of factors, including the failure of our network or software systems, computer viruses, security breaches, or variability in the information we ingest.</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and may in the future experience, system failures and cybersecurity incidents. While prior incidents have not materially affected our business strategy, results of operations or financial condition to date, and although our processes are designed to help prevent, detect and mitigate the impact of such incidents, we cannot guarantee that a future incident will not materially affect our strategy, results of operations or financial condition. Attempted cybersecurity breaches continue to evolve in sophistication and frequency and may be difficult to detect and remediate. A security incident or failure of our network or data gathering procedures, or those of our third-party data suppliers, could result in liability to the Company, impede the processing of data, cause the corruption or loss of data, prevent the timely delivery of our products, give rise to government inquiries or enforcement actions, or damage our customer relationships, brand and reputation.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we may need to expand our network and systems at a more rapid pace than we have in the past, particularly as we integrate AI tools and capabilities. Our network or systems may not be capable of meeting the demand for increased capacity, or we may incur additional expenses to accommodate these capacity demands. In addition, we may lose valuable data or be unable to obtain or provide data on a timely basis or our network may temporarily shut down if we fail to adequately expand or maintain our network capabilities to meet future requirements. Any lapse in our ability to collect or transmit data may decrease the value of our products and prevent us from providing the data requested by our customers and partners. Any disruption in our data processing or any loss, exposure or misuse of data may damage our reputation and result in the loss of customers, partners and vendors and the imposition of penalties or other legal or regulatory action, and our business, financial condition and results of operations could be materially and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customer and partner security reviews, and failure to pass these reviews could have an adverse impact on our operations.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customer and partner contracts require that we maintain certain physical and/or information security standards. Any failure to meet such standards could have an adverse impact on our business. In certain cases, we permit a customer or partner to audit our compliance with contractual standards. Negative findings in an audit and/or the failure to adequately remediate in a timely fashion such negative findings could cause customers or partners to terminate their contracts or otherwise have an adverse effect on our reputation, results of operations and financial condition. Further, customers or partners from time to time may require new or stricter physical or information security than they negotiated in their contracts and may condition continued volumes and business on the satisfaction of such additional requirements. Some of these requirements may be expensive to implement or maintain and may not be factored into our contract pricing. Failure to meet these requirements could have an adverse effect 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small number of third-party service providers to host and deliver our products, and any interruptions or delays in services from these third parties could impair the delivery of our products and harm our business.</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host some of our products and serve our customers from data center facilities located throughout the U.S. While we operate our equipment inside these facilities, we do not control the operation of these facilities, and, depending on service level requirements and costs, we may not continue to operate or maintain redundant data center facilities for all of our products or for all of our data, which could increase our vulnerability. These facilities are vulnerable to damage or interruption from earthquakes, hurricanes, floods, fires, power loss, telecommunications failures and similar events. They are also subject to break-ins, computer viruses, security breaches, sabotage, intentional acts of vandalism and other misconduct. A natural disaster or an act of terrorism, a decision to close the facilities without adequate notice, or other unanticipated problems could result in lengthy interruptions in availability of our products. We may also encounter capacity limitations and cost increases at our third-party data centers. Additionally, our data center facility agreements are of limited durations, and our data center facilities have no obligation to renew their agreements with us on commercially reasonable terms, if at all. We select our third-party data center providers through a rigorous process based on redundant capability and compliance with industry standards and audits. We believe that we will be able to renew or find alternative providers on commercially reasonable terms, although there can be no guarantee of this. If we are unable to renew our agreements with the owners of the facilities on commercially reasonable terms, or if we migrate to a new provider, we may experience significant cost increases or delays in delivering our products until an agreement with another provider can be arranged or the migration to a new facility is completed.</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the third-party data centers that we use were to experience a major power outage, we would have to rely on back-up generators, which may not function properly, and their supply may be inadequate. Such a power outage could result in the disruption of our business. Additionally, if our current facilities fail to have sufficient cooling capacity or availability of electrical power, we would need to find alternative facilities and could experience delays in delivering our products.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we have begun migrating certain data collection, processing and delivery systems from traditional data centers to cloud-based platforms. The migration of these processes has required, and will continue to require, significant time and resources from our management, technology and operations personnel and has introduced new requirements for security, financial and software development controls. These efforts have diverted and may continue to divert resources from other priorities, which could have a negative impact on our revenue and growth opportunities. If the migration of these or other processes is not successful, or if ongoing or future migrations take longer or require more resources than we anticipate, our results of operations and financial condition could be adversely affected.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access to the internet through third-party bandwidth providers to operate our business. If we lose the services of one or more of our bandwidth providers for any reason, we could experience disruption in the delivery of our products or be required to retain the services of a replacement bandwidth provider. It may be difficult for us to replace any lost bandwidth on a timely basis, on commercially reasonable terms, or at all, due to the large amount of bandwidth our operations require.</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errors, defects, breaches, disruptions or other performance problems related to our products or the delivery of our services caused by third parties could reduce our revenues, harm our reputation, result in the loss of customers, partners and vendors and the imposition of penalties or other legal or regulatory actions and otherwise damage our business. Interruptions in the availability of our products and the delivery of our services may reduce our revenues due to increased turnaround time to complete projects, cause us to issue credits or refunds to customers, cause customers to terminate their agreements or adversely affect our renewal rates. Our business, financial condition and results of operations would be materially and adversely affected if there were errors or delays in delivering our products or services, including for reasons beyond our control, and our reputation would be harmed if our customers or potential customers believe our products and services are unreliable.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activities and cost-reduction initiatives may not deliver the expected results and could disrupt our business operations.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Achieving our long-term revenue and profitability goals depends significantly on our ability to allocate resources in line with our strategic objectives and control our operating costs. In recent years, we have undertaken various actions to improve cost efficiency and better align our operating structure and resources with strategic priorities. In addition to employee terminations, these activities have included the reallocation of commercial and product development resources, reinvestment in and modernization of key technology platforms, consolidation of data storage and processing activities to reduce our data center footprint, and reduction of other operating expenses.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these activities do not generate the expected cost savings, our business and financial results could be adversely affected. Moreover, some of the organizational and operational changes we have made and continue to make require careful management to avoid disrupting customer, partner and employee relationships. If we do not successfully manage these activities, the expected benefits may not be realized, and our operations and business could be disrupted.</w:t>
      </w:r>
    </w:p>
    <w:p>
      <w:pPr>
        <w:spacing w:after="0" w:line="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management team and other personnel to operate and grow our business. The loss of one or more key employees, the inability to attract and retain qualified personnel, or the failure to integrate new personnel could harm our business.</w:t>
      </w:r>
    </w:p>
    <w:p>
      <w:pPr>
        <w:spacing w:after="0" w:line="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and future growth depend to a significant degree on the skills and continued services of our management team. Our future success also depends on our ability to retain, attract and motivate highly skilled technical, managerial, sales and marketing personnel.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these personnel is extremely competitive, and our restructuring and cost-reduction activities have put additional pressure on our ability to retain, attract and motivate key personnel. If we cannot retain highly skilled workers and key leaders, our ability to develop and deliver our products and increase our revenues may be materially and adversely affected. If we must increase employee compensation and benefits in order to remain competitive for these personnel, our operating costs and financial condition may be adversely affected. Recruiting and training costs may also place significant demands on our resources. We may experience a loss of productivity due to the departure of key personnel and the associated loss of institutional knowledge, or while new personnel integrate into our business and transition into their respective roles. Failure to ensure effective transitions and knowledge transfers may adversely affect our operations and our ability to execute on our strategic plans and growth initiatives.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and effectiveness of equity awards as a means to recruit and retain key personnel have diminished, and we may need to request additional shares for our equity plan or grant equity awards outside of our existing plan.</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relied on equity awards as one means of recruiting and retaining key personnel, including our senior management. Due to declines in our stock price in recent years, the effectiveness of equity awards as a means to attract and retain key personnel has diminished, and we have had to shift a larger portion of employee compensation to cash. Moreover, the quantity of equity awards we are able to grant under our 2018 Equity and Incentive Compensation Plan ("2018 Plan") is limited. These limits have further impacted our ability to offer awards to current and prospective employees, which in turn has contributed to employee retention and hiring challenges. In order to address our compensation needs, we may seek an amendment to our 2018 Plan to increase the number of shares available for future equity awards. We also may consider granting equity awards outside of our 2018 Plan, as we did with a 2021 executive hire. Either of these options would result in additional dilution to our existing stockholders. Alternatively, we may need to shift an even larger portion of employee compensation to cash, which could adversely affect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results of operations may fluctuate in the future. As a result, we may fail to meet or exceed the expectations of securities analysts or investors, which could cause our stock price to decline.</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as a result of a variety of factors, many of which are outside of our control. If our revenues or results of operations do not meet or exceed the expectations of securities analysts or investors, the price of our Common Stock could decline substantially. Factors that may cause fluctuations in our revenues or results of operations include:</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buying behaviors, including platform changes or disintermediation of traditional channels;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of demand for custom projects and usage-based products;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contract renewal rates caused by our customers' budgetary constraints, competition, or customer corporate restructuring or consolidation;</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or changes in methodology, particularly in light of consumer opt-in and consent requirements, cookie deprecation and other changes in our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decision to discontinue certain products, divest businesses or exit geographic regions;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or control costs, including those incurred as a result of technology upgrades, AI integrations, product development initiatives, panel changes and restructuring activities;</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data from third-party sources and the cost to integrate such data into our systems and products and implement new use cases;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judgments or settlements, or increased legal fees, in legal disputes or government proceedings;</w:t>
      </w:r>
    </w:p>
    <w:p>
      <w:pPr>
        <w:spacing w:after="0" w:line="63" w:lineRule="exact"/>
        <w:rPr>
          <w:rFonts w:ascii="Times New Roman" w:cs="Times New Roman" w:eastAsia="Times New Roman" w:hAnsi="Times New Roman"/>
          <w:sz w:val="18"/>
          <w:szCs w:val="18"/>
          <w:color w:val="auto"/>
        </w:rPr>
      </w:pPr>
    </w:p>
    <w:p>
      <w:pPr>
        <w:ind w:left="660" w:right="44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strategic or financing transactions, including financial advisory, legal, accounting, consulting, tax and other advisory fees and expenses and diversion of management time and resources;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 our existing debt and incurrence of additional debt;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migration and expansion of our operations and infrastructure;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other technical difficulties or security breaches;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appropriate staffing levels and capabilities, particularly during organizational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organizational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changes to our deferred tax valuation allowance;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regulatory, industry and market conditions and those conditions specific to media and advertising businesses.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revenues and results of operations on a year-over-year and sequential quarter-over-quarter basis may vary significantly in the future and that period-to-period comparisons of our operating results may not be meaningful. Investors are cautioned not to rely on the results of prior periods as an indication of future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or obtain sufficient cash to service our debt, lease facilities and trade payables.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indebtedness and lease facilities, as well as trade payables, including expenses incurred in prior periods. In addition, we may incur additional debt for operations. These obligations could require us to use a large portion of our cash flow from operations to service our debt and lease facilities and pay accrued expenses. They could also limit our flexibility to invest in our business and adjust to market conditions, which could impact our customer relationships and place us at a competitive disadvantage.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obtain the funds to pay our expenses and meet our financial obligations from cash flow from our operations, existing debt facilities and, potentially, from other debt or equity offerings and transactions. Accordingly, our ability to meet our obligations depends on our future performance and corporate activities, which will be affected by financial, business, contractual, economic and other factors, some of which are beyond our control. Failure to meet our payment obligations could disrupt our supply of goods and services and impact our reputation, creditworthiness and relations with customers, partners and creditors. It could also lead to costly litigation.</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cash flow and capital resources prove inadequate to allow us to satisfy our trade payables, pay the interest and principal on our debt when due, invest in our business and meet our other financial obligations, we could face substantial liquidity challenges and might be required to dispose of material assets or operations, obtain alternative financing (which we may be unable to do on acceptable terms) or forego attractive business opportunities. In addition, the terms of our existing or future financing agreements may restrict us from pursuing these alternatives. Failure to meet our financial obligations could have significant consequences including, potentially, forcing us into bankruptcy or liquidation.</w:t>
      </w:r>
    </w:p>
    <w:p>
      <w:pPr>
        <w:spacing w:after="0" w:line="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suffer and be adversely affected if we incur another impairment of goodwill or other intangible assets.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test goodwill and intangible assets, annually and on an interim basis if an event occurs or there is a change in circumstance that would more likely than not reduce the fair value of our reporting unit below its carrying value or indicate that the carrying value of such intangibles is not recoverable. When the carrying value of a reporting unit exceeds its fair value, a charge to operations, up to the total amount of goodwill, is recorded. If the carrying amount of an intangible asset is not recoverable, a charge to operations is recognized. Either event would result in incremental expense for that period, which would reduce any earnings or increase any loss for the period in which the impairment was determined to have occurred. We recorded impairment charges totaling $64.4 million and $78.2 million in 2024 and 2023, respectively.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impairment analysis is sensitive to changes in key assumptions used in our analysis, such as expected future cash flows, the degree of volatility in equity and debt markets and our stock price. Additionally, changes in our strategy or significant technical developments could significantly impact the recoverability of our intangible assets. If the assumptions used in our analysis are not realized, it is possible that additional impairment charges may need to be recorded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net losses, may incur significant net losses in the future and may not achieve profitability.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net losses of $10.0 million, $60.2 million and $79.4 million for the years ended December 31, 2025, 2024 and 2023, respectively. We cannot make assurances that we will be able to achieve profitability in the future. As of December 31, 2025, we had an accumulated deficit of $1.4 billion. Because a large portion of our costs are fixed, we may not be able to adequately reduce our expenses in response to any decrease in our revenues, which would adversely affect our operating results. In addition, our operating expenses may increase as we implement certain growth initiatives and restructuring activities, which include, among other things, the development of new products; enhancement of our data assets, technology and infrastructure; and payment of severance and other costs in connection with organizational restructuring. If our revenues do not increase to offset these increases in costs and operating expenses, our operating results would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operating loss carryforwards may expire unutilized or underutilized, which could prevent us from offsetting future taxable income.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We completed a Section 382 study in 2023 and concluded that an ownership change occurred in May 2021 as a result of the Series B Preferred Stock transactions; therefore, all of our U.S. net operating loss carryforwards generated prior to the ownership change are subject to annual limitations under Section 382.</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estimate our U.S. federal and state net operating loss carryforwards for tax purposes to be $572.6 million and $1.4 billion, respectively, subject to limitation as described above. We estimate that $469.8 million of our U.S. federal net operating loss carryforwards and $1.3 billion of our state net operating loss carryforwards are utilizable given the annual limitations under Section 382. Our net operating loss carryforwards begin to expire in 2026 for federal and state income tax reporting purposes. The federal and certain state net operating losses generated after December 31, 2017 have an indefinite carryforward period as a result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enactment of the Tax Cuts and Jobs Act ("TCJA"). As of December 31, 2025, we estimate our aggregate net operating loss carryforwards for tax purposes related to our foreign subsidiaries to be $5.6 million, which begin to expire in 2028.</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apply a valuation allowance to our deferred tax assets when management does not believe that it is more likely than not that they will be realized. In assessing the need for a valuation allowance, we consider all sources of taxable income, including potential opportunities for loss carrybacks, the reversal of existing temporary differences associated with our deferred tax assets and liabilities, tax planning strategies and future taxable income. We also consider other evidence such as historical pre-tax book income in making the determination. As of December 31, 2025, we continue to have a valuation allowance recorded against the net deferred tax assets of our U.S. entities and certain foreign subsidiaries, including net operating loss carryforwards.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Litigation and Tax Matters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 over data privacy and security, AI and data governance could lead to regulatory scrutiny, public relations problems, contractual disputes and lawsuits, which could harm our business.</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numerous U.S. and foreign laws and regulations and contractual obligations covering a wide variety of data privacy, security and governance topics, and our introduction and maintenance of products, methodologies and technologies will continue to be impacted by regulatory developments and concern in these areas.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governments around the world and in numerous U.S. states have adopted new laws and regulations focused on data privacy and protection. These laws and regulations apply to the collection, transmission, storage and use of personal information, among other things. The regulatory environment surrounding information security, data privacy and the use of AI in data collection and processing varies from jurisdiction to jurisdiction and is constantly evolving and increasingly demanding. The restrictions imposed by such laws continue to develop and may require us to incur substantial costs and fines or adopt additional disclosure or compliance measures, such as notification requirements and corrective actions, in addition to the measures we have already adopted. They also have required, and may continue to require, us to change our business practices and modify the products that we offer, which may increase our costs and decrease the quality and functionality of our products. Third-party products purporting to address privacy concerns may also negatively affect the functionality of, and demand for, our products and services. Any of these changes could result in the loss of customers, partners and vendors and harm to our business.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own data privacy, security and governance policies, we also rely on security questionnaires and contractual representations made to us by customers, partners, vendors and other third-party data providers that their own use of our services and the information they provide to us do not violate any applicable privacy laws, rules and regulations or their own privacy or security policies. As a component of our client contracts, we generally obligate customers to provide their consumers the opportunity to obtain the appropriate level of consent (including opt outs) for the information collection associated with our services, as applicable, or provide another appropriate legal basis for collection. If these questionnaires or representations are false, inaccurate or incomplete, or if our customers, partners, vendors and other third-party data providers do not otherwise comply with applicable privacy laws or security practices, we could face adverse publicity and possible legal or regulatory action.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perception of our practices, products or services as a violation of individual privacy rights may subject us to public criticism, loss of customers, partners or vendors, litigation (including class action lawsuits), reputational harm, or investigations or claims by regulators, industry groups, activist groups or other third parties, all of which could significantly disrupt our business and expose us to increased liability. As an example, in February 2026 a purported class action complaint was filed against us in the U.S. District Court for the Central District of California alleging violations of various state and federal laws, as well as certain common-law claims, in connection with our alleged collection of internet data from California residents. Refer to </w:t>
      </w:r>
      <w:r>
        <w:rPr>
          <w:rFonts w:ascii="Times New Roman" w:cs="Times New Roman" w:eastAsia="Times New Roman" w:hAnsi="Times New Roman"/>
          <w:sz w:val="18"/>
          <w:szCs w:val="18"/>
          <w:u w:val="single" w:color="auto"/>
          <w:color w:val="0000FF"/>
        </w:rPr>
        <w:t>Footnote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included in Part II, Item 8 of this 10-K for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we are disputing the claims and believe we have meritorious defenses, this type of proceeding can be disruptive, costly and damaging to our business and brand, even if we are ultimately successful in our defense.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loss or unauthorized disclosure of sensitive data could expose us to liability and damage our brand and reputation.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parties, including foreign actors, may attempt to fraudulently induce our employees or users of our solutions to disclose sensitive information via illegal electronic spamming, phishing, threats or other tactics. Unauthorized parties may also attempt to gain physical access to our information systems. Any breach of our security measures or the accidental loss, inadvertent disclosure or unauthorized dissemination of proprietary information or sensitive, personal or confidential data about us, our employees or our customers, partners or vendors, including the potential loss or disclosure of such information or data as a result of hacking, fraud, trickery or other forms of deception, could expose us, our employees, our customers or the individuals affected to risks of loss or misuse of this information. Any actual or potential breach of our security measures may result in litigation and potential liability or fines, governmental inquiry or oversight or a loss of customer confidence, any of which could harm our business and damage our brand and reputation, possibly impeding our present and future success in retaining and attracting customers and requiring time and resources to repair our brand.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 or foreign laws, regulations or enforcement actions may further limit our ability to collect and incorporate media usage information in our products, which may decrease their value and cause an adverse impact on our business and financial results.</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adversely impacted by existing or future laws, regulations or actions by domestic or foreign regulatory agencies, or by our customers' or partners' efforts to comply with these laws. For example, privacy, data protection and personal information, intellectual property, advertising, data security, data retention and deletion, protection of minors, consumer protection, economic or other trade prohibitions or sanctions concerns have and could continue to lead to legislative, judicial and regulatory limitations on our and our partners' ability to collect, maintain and use information about consumers' behavior and media consumption in the U.S. and abroad, impacting the amount and quality of data in our products and increasing our costs.</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and federal laws within the U.S. and foreign laws and regulations are varied, overlapping and at times conflicting, resulting in higher risk related to compliance. A number of laws have come into effect over the past decade, and there are proposals pending before federal, state and foreign legislative and regulatory bodies that have affected and are likely to continue to affect our business. For example, the European Union's ("EU") General Data Protection Regulation, or GDPR, has imposed more stringent EU data protection requirements with greater penalties for noncompliance. In addition, regulators in the EU, the U.S. and elsewhere have increasingly focused on transparency, consent, consumer choice and the collection of data using tracking technologies. In the EU, cross-border data transfers are increasingly scrutinized to ensure compliance, and there have been expanded enforcement efforts in this area. Many U.S. states have also adopted comprehensive privacy laws governing the collection and use of personal information, with more expected in 2026 and beyond. These laws have expanded consumer rights to include individual rights of access, deletion, portability, correction and appeal and the right to "opt in" to collection and use of certain types of personal information deemed sensitive under the laws. These U.S. federal and state and foreign laws and regulations, which in some cases can be enforced by private parties in addition to government entities, are constantly evolving and impose new and complex requirements on our business.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or AI, is also the subject of evolving review by various governments and regulatory agencies around the world. New and changing laws and regulations covering the development, use and provision of AI technologies and other digital products and services could impact our ability to use certain methodologies, impose new disclosure or consent requirements, or limit our ability to pursue alternative strategies to build our products. We may also be required to expend resources to adjust and analyze certain product offerings and methodologies as the regulatory environment evolves.</w:t>
      </w:r>
    </w:p>
    <w:p>
      <w:pPr>
        <w:spacing w:after="0" w:line="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implemented policies and procedures to comply with the GDPR, state privacy laws, the Children's Online Privacy Protection Act and other existing laws and regulations, and we continue to evaluate and implement processes and technical enhancements and monitor changes in laws and regulations. However, the application, interpretation, and enforcement of these laws and regulations are often uncertain, particularly in the rapidly evolving industries in which we operate, and may be interpreted and applied inconsistently from country to country, state to state, and customer to customer, and inconsistently with our current policies and practices. Additionally, the costs of compliance with, and the other burdens imposed by, these and other laws, regulatory actions and customer or partner policies may prevent us from selling our products, may require us to alter our products in ways that make them less competitive or compelling to customers, may divert development resources from other priorities, may continue to increase the costs associated with selling our products, and may affect our ability to invest in or jointly develop products in the U.S. and in foreign jurisdictions. In addition, failure to comply with these and other laws and regulations may result in, among other things, government enforcement actions and substantial fines, individual and class action lawsuits, contractual breaches, significant legal fees, and civil and criminal liability. Any regulatory or civil action that is brought against us, even if unsuccessful, may distract our management's attention, divert our resources, negatively affect our public image or reputation among our panelists, customers, partners and vendors, and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involvement in pending and future litigation could result in substantial costs and adverse outcomes.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litigation, claims, investigations and disputes arising in the ordinary course of our business. Litigation and regulatory matters are inherently uncertain and can result in substantial costs, including legal fees, settlement payments, judgments, fines, penalties and increased insurance premiums. Adverse outcomes in these proceedings could damage our brand and require us to pay significant damages or alter our business practices, which could negatively affect our business and customer relationships. In addition, the defense of legal proceedings can be time-consuming and distracting, diverting our management team from our normal operations and strategic priorities. Even if we ultimately prevail in these matters, the cost and disruption associated with litigation may be material and could negatively affect our financial condition and results of operations.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assertion from a third party that we are infringing its intellectual property rights, whether such assertion is valid or not, could subject us to costly and time-consuming litigation or expensive licenses.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media measurement, software and technology industries are characterized by the existence of a large number of patents, copyrights, trademarks and trade secrets and by frequent litigation based on allegations of infringement or other violations of intellectual property rights. As we grow, evolve our products and methodologies, and gain traction in competitive markets, the probability that one or more third parties will make intellectual property rights claims against us increases. Disputes such as these have the potential to harm our relationships with customers, deter future customers from buying our products, or expose us to litigation, which could be expensive and divert our management team's attention from the normal operation of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direct claims against us, certain agreements may require us to indemnify our customers for third-party intellectual property infringement claims, which would increase our costs if we must defend such claims. Even if we are not a party to any litigation between a customer and a third party, an adverse outcome in any such litigation could make it more difficult for us to defend against intellectual property claims by the third party in any subsequent litigation in which we are a named party. Any of these results could adversely affect our brand, business and results of operations.</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rights claim against us or our customers, we could be required to pay damages or stop using technology or methodologies found to be in violation of a third party's rights. Alternatively, we may need to seek a license for certain rights, which may not be available on reasonable terms or at all, may significantly increase our operating expenses or may significantly restrict our business activities in one or more respects. We may also be required to develop alternative non-infringing technology or methodologies, which could require significant effort and expense. Any of these outcomes could adversely affect our business and results of operations. Even if we are successful in defending ourselves against such claims, we may incur substantial expenses, and the defense of such claims may divert considerable time and resources from our business and strategic priorities.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large part on our ability to protect and enforce our intellectual property rights.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 copyright, service mark, trademark and trade secret laws, as well as confidentiality procedures and contractual restrictions, to establish and protect our proprietary rights, all of which provide only limited protection. We endeavor to enter into agreements with our employees and contractors and with parties with whom we do business in order to limit access to and disclosure of our proprietary information. We cannot be certain that the steps we have taken will prevent unauthorized use of our technology or the reverse engineering of our technology. Moreover, we may not have adequate resources to devote to obtaining new intellectual property protection for our technology and products, defending our existing rights, or maintaining the security of our know-how and data. We cannot make assurances that any additional patents will be issued with respect to any of our pending or future patent applications, nor can we assure that any patent issued to us will provide adequate protection, or that any patents issued to us will not be challenged, invalidated, circumvented, or held to be unenforceable in actions against alleged infringers. Also, we cannot make assurances that any future trademark or service mark registrations will be issued with respect to pending or future applications or that any of our registered trademarks and service marks will be enforceable or provide adequate protection of our proprietary rights. If we are unable to protect our intellectual property rights, or if we must engage in costly and time-consuming litigation to enforce our rights, our results of operations and financial condition could be adversely affected.</w:t>
      </w:r>
    </w:p>
    <w:p>
      <w:pPr>
        <w:spacing w:after="0" w:line="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limit our ability to sell our products, subject our code to public disclosure or require us to reengineer our products.</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open source software in certain of our products, and it is also contained in some third-party software that we license. There are many types of open source licenses, some of which have not been interpreted or adjudicated by U.S. or other courts. Our use of open source licenses could limit our ability to sell our products or subject our proprietary code to public disclosure if not properly managed. Remediation of such issues may involve licensing software on costly or unfavorable terms or reengineering our products, either of which could have an adverse effect on our results of operations and financial condition.</w:t>
      </w:r>
    </w:p>
    <w:p>
      <w:pPr>
        <w:spacing w:after="0" w:line="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 in multiple jurisdictions. Any adverse development in the tax laws of any of these jurisdictions or any disagreement with our tax positions could have a material and adverse effect on our business, financial condition or results of operations.</w:t>
      </w:r>
    </w:p>
    <w:p>
      <w:pPr>
        <w:spacing w:after="0" w:line="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taxation in, and to the tax laws and regulations of, multiple jurisdictions as a result of the international scope of our operations and our corporate entity structure. We are also subject to transfer pricing laws with respect to our intercompany transactions, including those relating to the flow of funds among our companies. Adverse developments in these laws or regulations, or any change in position regarding the application, administration or interpretation thereof, in any applicable jurisdiction, could have a material and adverse effect on our business, financial condition or results of operations. In addition, the tax authorities in any applicable jurisdiction, including the U.S., may disagree with the positions we have taken or intend to take regarding the tax treatment or characterization of any of our transactions. If any applicable tax authorities, including U.S. tax authorities, were to successfully challenge the tax treatment or characterization of any of our transactions, it could have a material and adverse effect on our business, financial condition or results of operations.</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we have concluded that we do not need to collect sales and use, value added and similar taxes in jurisdictions in which we have sales or operations. Certain jurisdictions in which we do not collect such taxes have asserted, and may in the future assert, that such taxes are applicable, which could result in tax assessments, penalties and interest, and we may be required to collect such taxes in the future. Such tax assessments, penalties and interest or future requirements may adversely affect our financial condition and results of operations.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an example, in 2025, we received an audit assessment from the State of Washington related to potential sales tax liabilities in that state. Refer to </w:t>
      </w:r>
      <w:r>
        <w:rPr>
          <w:rFonts w:ascii="Times New Roman" w:cs="Times New Roman" w:eastAsia="Times New Roman" w:hAnsi="Times New Roman"/>
          <w:sz w:val="18"/>
          <w:szCs w:val="18"/>
          <w:u w:val="single" w:color="auto"/>
          <w:color w:val="0000FF"/>
        </w:rPr>
        <w:t>Footnote 11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Consolidated Financial Statements included in Part II, Item 8 of this 10-K for more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Although we are disputing the assessment and believe we have a strong position that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activities are not taxable under applicable law, we may not be successful in having the assessment reversed, which would have an adverse effect on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susceptible to risks associated with international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international operations subjects us to risks that we generally do not face in the U.S. These risks include:</w:t>
      </w:r>
    </w:p>
    <w:p>
      <w:pPr>
        <w:spacing w:after="0" w:line="10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maintenance of a sufficiently large and representative panel both globally and in certain countries;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associated with tailoring our products to local and international markets as may be required by local customers and joint industry committees or similar industry organizations;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expanding the adoption of our server- or census-based web beacon data collection in certain countries or obtaining access to other necessary data sources;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and expense of complying with a wide variety of foreign laws and regulations, including the GDPR, other privacy, AI and data protection laws and regulations, and foreign anti-corruption laws, as well as the U.S. Foreign Corrupt Practices Act and U.S. sanctions regime;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complex and costly hiring, disciplinary, and termination requirements as well as third-party contracting arrangements;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foreign value-added taxes and the repatriation of earnings;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wars and other security concerns;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that have affected and could continue to affect our results of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accounting and reporting burdens and complexities.</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operating in international markets requires significant additional management attention and financial resources. We cannot be certain that the investments and additional resources required to maintain operations in other countries will hold their value or produce desired levels of revenues or profitability. We cannot be certain that we will be able to comply with laws, rules, regulations or local guidelines to maintain or increase the size of the user panels that we currently have in various countries, that we will be able to recruit a representative sample for our audience measurement products or that we will be able to enter into arrangements with a sufficient number of website and mobile app content providers and/or television operators to allow us to collect information for inclusion in our products. In addition, governmental authorities in various countries have different views regarding regulatory oversight of the internet, data protection, AI and consumer privacy. The impact of these risks could negatively affect our international business and, consequently, our financial condition and results of operations.</w:t>
      </w:r>
    </w:p>
    <w:p>
      <w:pPr>
        <w:spacing w:after="0" w:line="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Export controls and economic and trade sanctions laws could impair our ability to compete in international markets and subject us to liability if we are not in full compliance with applicable laws.</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activities include the sale of services and collection of data from panelists around the world, and such activities may be subject to various restrictions under U.S. export controls and economic and trade sanctions laws. If we fail to comply with these laws and regulations, we could be subject to civil or criminal penalties and reputational harm.</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take precautions to prevent the collection of data from panelists in embargoed countries and regions that may be subject to export controls and economic and trade sanctions under these laws and regulations, we have collected such data in the past, and there is a risk that we could collect such data in the future despite our precautions. We have implemented a number of screening and other measures designed to prevent transactions with embargoed countries and other U.S. sanctions targets. Changes in the list of embargoed countries and regions or prohibited persons may require us to modify these procedures in order to comply with governmental regulations. Our failure to screen potential panelists, customers, vendors or other third parties properly could result in negative consequences to us, including government investigations, penalties and reputational harm, any of which could materially and adversely affect our business, financial condition or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currencies could have a significant effect on our operating results.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numerous countries in Latin America, Europe and Asia. A portion of our revenues and expenses from business operations in foreign countries are derived from transactions denominated in currencies other than the functional currency of our operations in those countries. As such, we have exposure to changes in exchange rates associated with revenues and operating expenses of our foreign operations, and these changes have impacted our results in prior periods. We do not currently enter into any hedging instruments that hedge foreign currency exchange rate risk. If we grow our international operations, if we acquire companies with established business in international regions, or if exchange rates become more variable, our exposure to foreign currency risk could become more 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Financings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preferred stock have significant influence over the Company, may prevent other stockholders from influencing significant corporate decisions, and may have interests that conflict with those of our other stockholders.</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2021, we entered into separate Series B Convertible Preferred Stock Purchase Agreements (collectively, the "Securities Purchase Agreements") with each of Charter Communications Holding Company, LLC ("Charter"), Qurate Retail, Inc. ("Qurate") and Pine Investor, LLC ("Pine"). In 2023, Qurate sold its shares of Series B Preferred Stock to Liberty Broadband Corporation ("Liberty") in a private transaction. We collectively refer to Charter, Pine and Qurate/Liberty (as applicable) as the "Investors" in this 10-K.</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securities pursuant to the Securities Purchase Agreements and related matters were approved by our stockholders and completed in 2021. In connection with these transactions, we also entered into a long-term data license with Charter, which was intended to enhance our ability to execute on our strategic plans and growth initiatives.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entered into Stock Exchange Agreements with the Investors, pursuant to which each Investor exchanged all of its outstanding shares of Series B Preferred Stock for shares of Series C Preferred Stock, Common Stock, and a fixed cash payment in June 2028 (the "Recapitalization"). The Recapitalization and related matters were approved by our stockholders and completed in 2025.</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Investors were the largest stockholders of the Company, with each Investor's holdings representing more than 27% of our issued and outstanding Common Stock on an as-converted basis. This concentration of ownership, together with the voting rights, director designation rights and consent rights described below, may be perceived negatively by other investors and, as a result, may adversely affect the market price of our Common Stock.</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holders of Series C Preferred Stock have one vote per share (subject to adjustment in accordance with the Certificate of Designations governing the Series C Preferred Stock) and are entitled to vote as a single class with the holders of Common Stock on all matters submitted to a vote of the holders of Common Stock. However, to the extent that the Series C Preferred Stock and any shares of Common Stock held by an Investor as of December 29, 2025 (the closing date of the Recapitalization) would represent voting rights with respect to more than 16.66% of the Common Stock (including the Series C Preferred Stock on an as-converted basis), such Investor will not be permitted to exercise the voting rights with respect to any shares of Series C Preferred Stock held by it in excess of the 16.66% voting threshold, and the Company will exercise the voting rights with respect to such shares in a neutral manner. There are additional voting restrictions set forth in our Second Amended and Restated Stockholders Agreement with the Investors (the "Stockholders Agreement"). Even taking these restrictions into account, however, the Investors are expected to have significant influence over any matter submitted to a vote of our stockholders in the near term.</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each Investor currently has the right to designate one director to serve on our Board of Directors, and the Investors together have the right to nominate a fourth director who will act as the Board Chair. In addition, each Investor has consent rights over certain matters pursuant to the Stockholders Agreement. As a result, each Investor is able to influence corporate matters and transactions in a different way than other stockholders.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interests of the Investors may not always coincide with our interests or the interests of our other stockholders, and the rights described above may delay, deter or prevent acts that would be favored by our other stockholders. Also, the Investors may seek to cause us to take courses of action that, in their judgment, could enhance their investment in us, but which might involve risks to our other stockholders or adversely affect us or our other stockholders.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may impact our ability to operate our business and secure additional financing in the future, and any failure to meet our debt obligations could adversely affect our business and financial condition.</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senior secured financing agreement (the "Credit Agreement") with a borrowing capacity of $60.0 million. As of December 31, 2025, we had outstanding borrowings totaling $44.6 million under the Credit Agreement. Amounts outstanding under the Credit Agreement are made at the Adjusted Term SOFR rate or the Reference Rate (each as defined in the Credit Agreement) and bear interest at a rate per annum equal to (i) the Adjusted Term SOFR rate, subject to a 3.0% floor, plus an applicable margin of 7.0%, or (ii) the Reference Rate, subject to a 4.0% floor, plus an applicable margin of 6.0%. As of December 31, 2025, the applicable interest rate was 10.93%. In addition, the Credit Agreement provides for an unused commitment fee equal to 1.0% per annum of the unused revolving commitments. The Credit Agreement matures in December 2028.</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outstanding under the Credit Agreement must be prepaid from time to time with the net cash proceeds of certain debt incurrences, equity issuances, asset sales and other dispositions, insurance and condemnation proceeds, tax refunds and other extraordinary receipts. Additionally, we may be required to prepay the loans annually with Excess Cash Flow (as defined in the Credit Agreement) at specified percentages, or we may voluntarily prepay a portion of the loans in order to maintain compliance with our financial covenants, as we anticipate doing in the first quarter of 2026. Certain payments may be subject to prepayment premiums.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Servicing and repaying our indebtedness under the Credit Agreement could divert resources from other priorities, including investment in our products and operations and satisfaction of other financial obligations. If our cash flow from operations is inadequate to allow us to pay the interest and principal on our debt when due and meet our other financial obligations, we could face substantial liquidity challenges.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we are subject to restrictive covenants limiting our ability to, among other things, incur additional indebtedness and liens, make investments and loans, enter into mergers and acquisitions, make or declare dividends and other payments, enter into certain contracts, sell assets, and engage in transactions with affiliates. These covenants could limit our operating flexibility and cause us to forego attractive business opportunities, which could hurt our customer relationships and put us at a competitive disadvantage. The covenants also could prevent us from securing additional financing in the future, including to fund our operations or satisfy liabilities.</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subject to financial covenants under the Credit Agreement, including a requirement to maintain a maximum Senior Leverage Ratio and minimum Liquidity (each as defined in the Credit Agreement) during the term of the facility.</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meet or obtain relief from our obligations under the Credit Agreement, the lender(s) may accelerate any amounts outstanding under the Credit Agreement and may terminate their commitments to extend further credit. This could have important consequences for our company, including requiring us to restructure or refinance our debt (which we may be unable to do on acceptable terms or at all), dispose of assets or, potentially, enter into liquidation or bankruptcy.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may not be available on acceptable terms or at all.</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meet our outstanding financial obligations, develop new products or enhance our existing products, enhance our operating infrastructure, retain and hire key personnel, and acquire complementary businesses and technologies. Accordingly, we may need to engage in equity or debt financings to secure additional funds. If we raise additional funds through further issuances of equity or convertible debt securities, our existing stockholders could suffer significant dilution, and any new securities we issue could have rights, preferences and privileges superior to those of holders of our Common Stock. Any financing secured by us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also may be required to repay amounts outstanding under our existing Credit Agreement, together with applicable prepayment premiums, with the proceeds of future financings. Repaying our existing debt obligations and servicing future debt obligations could limit our flexibility to invest in the business and adjust to market conditions, which could impact our customer relationships and place us at a competitive disadvantage.</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and credit market conditions, adverse events affecting our business or industry, the tightening of lending standards, rising interest rates, negative actions by regulatory authorities or rating agencies, or other factors also could negatively impact our ability to obtain future financing on terms acceptable to us or at all. If we are unable to obtain adequate financing or financing on terms satisfactory to us when we require it, our ability to support our business growth, meet our payment obligations, and respond to business challenges could be significantly limited. In addition, the terms of any additional equity or debt issuances may adversely affect the value and price of our Common Stock, our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Related to Ownership of Our Common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securities, the stock or securities that we may issue under existing or future agreements, and certain provisions of those securities, may cause immediate and substantial dilution to our existing stockholders.</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existing stockholders have experienced and may continue to experience substantial dilution as a result of our obligations to issue shares of Common Stock. As of December 31, 2025, our Series C Preferred Stock was convertible into an aggregate of 12,670,863 shares of Common Stock at the election of the holders.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98,726 shares of Common Stock were reserved for issuance pursuant to outstanding stock options under our equity incentive plans (including stock option awards we assumed in the Shareablee acquisition), 388,196 shares of Common Stock were reserved for issuance pursuant to outstanding restricted stock unit and deferred stock unit awards under our equity incentive plans and arrangements (including Shareablee plan awards and an employment inducement award we granted in 2021), and 2,572,844 shares of Common Stock were available for future equity awards under our 2018 Equity and Incentive Compensation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shares of Common Stock (i) upon the conversion of our Series C Preferred Stock, (ii) pursuant to outstanding and future equity awards, or</w:t>
      </w:r>
    </w:p>
    <w:p>
      <w:pPr>
        <w:spacing w:after="0" w:line="27" w:lineRule="exact"/>
        <w:rPr>
          <w:sz w:val="20"/>
          <w:szCs w:val="20"/>
          <w:color w:val="auto"/>
        </w:rPr>
      </w:pPr>
    </w:p>
    <w:p>
      <w:pPr>
        <w:ind w:firstLine="8"/>
        <w:spacing w:after="0" w:line="260" w:lineRule="auto"/>
        <w:tabs>
          <w:tab w:leader="none" w:pos="3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other convertible securities we may issue in the future, may result in substantial dilution to each of our stockholders by reducing that stockholder's percentage ownership of our outstanding Common Stock.</w:t>
      </w:r>
    </w:p>
    <w:p>
      <w:pPr>
        <w:spacing w:after="0" w:line="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bylaws and under Delaware law might discourage, delay or prevent a change of control of our company or changes in our management and, therefore, depress the trading price of our Common Stock.</w:t>
      </w:r>
    </w:p>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so that not all members of our Board are elected at one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that our Board could issue to increase the number of outstanding shares to discourage a takeover attempt;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means that all stockholder actions must be taken at a meeting of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our bylaws;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advance notice requirements for nominations for elections to our Board or for proposing matters that can be acted upon by stockholders at stockholder meetings.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which prohibits a Delaware corporation from engaging in any of a broad range of business combinations with any "interested" stockholder for a period of three years following the date on which the stockholder became an "interested" stockholder and which may discourage, delay or prevent a change of control of our company.</w:t>
      </w:r>
    </w:p>
    <w:p>
      <w:pPr>
        <w:spacing w:after="0" w:line="21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3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comprehensive cybersecurity program and process for identifying, assessing and managing risks from cybersecurity threats as part of our broader enterprise risk management system. Our cybersecurity program is run by a dedicated team of cybersecurity professionals with deep expertise in security best practices, security and system engineering, and incident response. Our Vice President, Information Security is a Certified Information Systems Security (CISSP) and Certified Information Security Management (CISM) professional with a degree in computer science and more than 30 years of relevant IT experience, including more than 10 years at the Company. The Information Security function reports to our Chief Operating Officer, who is a seasoned executive with a degree in industrial systems and decades of product and technology experience, including more than 20 years with the Company. The Information Security team is responsible for identifying, assessing and mitigating cybersecurity threats, risks, and vulnerabilities; evaluating and deploying appropriate security tools; and operating a 24x7 security operations center to promptly detect, contain, remediate and prevent security incidents. Security incidents are reported to a cross-functional working group that includes our Chief Operating Officer, General Counsel, Chief Compliance Officer and other stakeholders as merited.</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aligned our information security management system to the International Organization for Standardization ("ISO") 27001 standard and our privacy management system to the ISO 27701 standard. An outside auditor tests the effectiveness of our security and privacy controls against the ISO 27001 and 27701 standards on an annual basis. We regularly update our program and processes to incorporate recommendations from auditors and outside security experts. We also maintain a third-party risk management process that includes the screening and evaluation of service providers against our security, privacy, and compliance standards.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an active role, as a whole and at the committee level, in overseeing management of our material risks from cybersecurity threats. The Board's Audit Committee oversees management of financial, regulatory, compliance and security risks and receives reports at least quarterly from our Chief Operating Officer regarding our cybersecurity programs, vulnerabilities, threats and risks. The full Board is regularly informed about such risks through committee reports, attendance at committee meetings and other communications.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leadership team is responsible for designing and implementing our enterprise risk management program, with input from our Chief Product Officer, Chief Operating Officer, General Counsel and other security and privacy personnel regarding material risks from cybersecurity threats. The executive leadership team regularly discusses security threat trends, incident trends, risk mitigation, and overall security strategy as part of our enterprise security governance process. We consult with outside counsel as appropriate, including on materiality analyses and disclosure matters, and our senior management makes the final materiality determinations and disclosure and other compliance decisions. Our management team informs our independent public accounting firm of any relevant developments.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experienced, and may in the future experience, cybersecurity incidents. While prior incidents have not materially affected our business strategy, results of operations or financial condition to date, and although our processes are designed to help prevent, detect, mitigate, and minimize the impact of such incidents, we cannot guarantee that a future security incident would not materially affect our strategy, results of operations or financial condition. For more information on our cybersecurity-related risks,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of this 10-K.</w:t>
      </w:r>
    </w:p>
    <w:p>
      <w:pPr>
        <w:spacing w:after="0" w:line="24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3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leased office space in Reston, Virginia. Our other principal locations include leased office space in New York, New York and Portland, Oregon. We also lease space in various locations throughout North America, South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America, Europe, and Asia Pacific for sales and other personnel. If we require additional space, we believe that we would be able to obtain such space on commercially reasonable terms.</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leased facilities in 13 locations worldwide, and had three subleases in place for a portion of our leased space. Currently, however, most of our employees are operating under remote or hybrid working arrangements.</w:t>
      </w:r>
    </w:p>
    <w:p>
      <w:pPr>
        <w:spacing w:after="0" w:line="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obligations under operating and finance leases, refer to </w:t>
      </w:r>
      <w:r>
        <w:rPr>
          <w:rFonts w:ascii="Times New Roman" w:cs="Times New Roman" w:eastAsia="Times New Roman" w:hAnsi="Times New Roman"/>
          <w:sz w:val="18"/>
          <w:szCs w:val="18"/>
          <w:u w:val="single" w:color="auto"/>
          <w:color w:val="0000FF"/>
        </w:rPr>
        <w:t>Footnote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Consolidated Financial Statements.</w:t>
      </w:r>
    </w:p>
    <w:p>
      <w:pPr>
        <w:spacing w:after="0" w:line="224"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32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Footnote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included in Part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10-K, which is incorporated herein by reference.</w:t>
      </w:r>
    </w:p>
    <w:p>
      <w:pPr>
        <w:spacing w:after="0" w:line="237"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ind w:left="1180" w:right="320" w:hanging="1160"/>
        <w:spacing w:after="0" w:line="239"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"SCOR".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16, 2026, there were 110 stockholders of record of our Common Stock, although we believe that there are a significantly larger number of beneficial owners of our Common Stock. We derived the number of stockholders by reviewing the listing of outstanding Common Stock recorded by our transfer agent as of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relating to our equity compensation plans required by Item 5 is incorporated by reference to such information as set forth in Part III, </w:t>
      </w:r>
      <w:r>
        <w:rPr>
          <w:rFonts w:ascii="Times New Roman" w:cs="Times New Roman" w:eastAsia="Times New Roman" w:hAnsi="Times New Roman"/>
          <w:sz w:val="18"/>
          <w:szCs w:val="18"/>
          <w:u w:val="single" w:color="auto"/>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00"/>
        </w:rPr>
        <w:t>,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2025, in connection with the Recapitalization, we issued 12.7 million shares of Series C Preferred Stock and 9.9 million shares of Common Stock to the Investors in exchange for all outstanding shares of Series B Preferred Stock. The shares of Series C Preferred Stock and Common Stock issued in connection with the Recapitalization were not initially registered under the Securities Act of 1933, as amended (the "Securities Act"), in reliance on an exemption from registration provided by Section 4(a)(2) of the Securities Act and/or Regulation D promulgated thereunder. Additional information required by Item 701 of Regulation S-K was previously included in our Current Report on Form 8-K filed on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Consolidated Financial Statements and the related Notes to Consolidated Financial Statements included in Part II, </w:t>
      </w:r>
      <w:r>
        <w:rPr>
          <w:rFonts w:ascii="Times New Roman" w:cs="Times New Roman" w:eastAsia="Times New Roman" w:hAnsi="Times New Roman"/>
          <w:sz w:val="18"/>
          <w:szCs w:val="18"/>
          <w:i w:val="1"/>
          <w:iCs w:val="1"/>
          <w:u w:val="single" w:color="auto"/>
          <w:color w:val="0000FF"/>
        </w:rPr>
        <w:t>Item 8</w:t>
      </w:r>
      <w:r>
        <w:rPr>
          <w:rFonts w:ascii="Times New Roman" w:cs="Times New Roman" w:eastAsia="Times New Roman" w:hAnsi="Times New Roman"/>
          <w:sz w:val="18"/>
          <w:szCs w:val="18"/>
          <w:i w:val="1"/>
          <w:iCs w:val="1"/>
          <w:color w:val="auto"/>
        </w:rPr>
        <w:t xml:space="preserve"> of this Annual Report on Form 10-K, or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rPr>
          <w:rFonts w:ascii="Times New Roman" w:cs="Times New Roman" w:eastAsia="Times New Roman" w:hAnsi="Times New Roman"/>
          <w:sz w:val="18"/>
          <w:szCs w:val="18"/>
          <w:i w:val="1"/>
          <w:iCs w:val="1"/>
          <w:u w:val="single" w:color="auto"/>
          <w:color w:val="0000FF"/>
        </w:rPr>
        <w:t>Item 1A</w:t>
      </w:r>
      <w:r>
        <w:rPr>
          <w:rFonts w:ascii="Times New Roman" w:cs="Times New Roman" w:eastAsia="Times New Roman" w:hAnsi="Times New Roman"/>
          <w:sz w:val="18"/>
          <w:szCs w:val="18"/>
          <w:i w:val="1"/>
          <w:iCs w:val="1"/>
          <w:color w:val="auto"/>
        </w:rPr>
        <w:t>, "Risk Factors," and elsewhere in this 10-K. See also "</w:t>
      </w:r>
      <w:r>
        <w:rPr>
          <w:rFonts w:ascii="Times New Roman" w:cs="Times New Roman" w:eastAsia="Times New Roman" w:hAnsi="Times New Roman"/>
          <w:sz w:val="18"/>
          <w:szCs w:val="18"/>
          <w:i w:val="1"/>
          <w:iCs w:val="1"/>
          <w:u w:val="single" w:color="auto"/>
          <w:color w:val="0000FF"/>
        </w:rPr>
        <w:t>Cautionary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Regarding Forward-Looking Statements</w:t>
      </w:r>
      <w:r>
        <w:rPr>
          <w:rFonts w:ascii="Times New Roman" w:cs="Times New Roman" w:eastAsia="Times New Roman" w:hAnsi="Times New Roman"/>
          <w:sz w:val="18"/>
          <w:szCs w:val="18"/>
          <w:i w:val="1"/>
          <w:iCs w:val="1"/>
          <w:color w:val="000000"/>
        </w:rPr>
        <w:t>" at the beginning of this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information and analytics company that measures advertising, content, and the consumer audiences of each, across media platforms. We create our products using a global data platform that combines information on digital platforms (connected televisions, mobile devices, tablets and computers), televisions,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platforms we measure include televisions, mobile devices, computers, tablets, CTV devices and movie theaters. The information we analyze crosses geographies, types of content and activities, including websites, mobile and over-the-top applications, video games, television and movie programming, e-commerce and advertising.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and Comprehensive Loss data as a percentage of revenues for each of the periods indicated. Percentages may not add due to rounding.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of Revenue</w:t>
            </w: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2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expenses from operations</w:t>
            </w: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352,960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415,556</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444,944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119.8 %</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from foreign currency transactions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and services are organized around two solution groups:</w:t>
      </w:r>
    </w:p>
    <w:p>
      <w:pPr>
        <w:spacing w:after="0" w:line="104" w:lineRule="exact"/>
        <w:rPr>
          <w:sz w:val="20"/>
          <w:szCs w:val="20"/>
          <w:color w:val="auto"/>
        </w:rPr>
      </w:pPr>
    </w:p>
    <w:p>
      <w:pPr>
        <w:jc w:val="both"/>
        <w:ind w:left="660" w:hanging="328"/>
        <w:spacing w:after="0" w:line="253" w:lineRule="auto"/>
        <w:tabs>
          <w:tab w:leader="none" w:pos="648"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8"/>
          <w:szCs w:val="18"/>
          <w:color w:val="auto"/>
        </w:rPr>
        <w:t>Content &amp; Ad Measurement represents the measurement portion of our business - measuring audiences across content and advertisements for linear TV, CTV, desktops, laptops, tablets and mobile devices. Product offerings reported in this solution group include our legacy subscription-based syndicated offerings that measure audiences for linear TV (national and local), digital and streaming, as well as theatrical box office receipts. Also included in this solution group are our transaction-based cross-platform products: Proximic by Comscore ("Proximic"), our Activation solution suite, and Cross-Platform Campaign Results ("CCR"), along with our subscription-based cross-platform product, Comscore Content Measurement ("CCM"). These syndicated and cross-platform products are used as currency to plan and execute ad campaigns, measure the outcome of ad campaigns, optimize ad campaigns that are in-flight, activate programmatic campaigns, and make content easier for programmatic advertisers to reach.</w:t>
      </w:r>
    </w:p>
    <w:p>
      <w:pPr>
        <w:spacing w:after="0" w:line="39" w:lineRule="exact"/>
        <w:rPr>
          <w:rFonts w:ascii="Arial" w:cs="Arial" w:eastAsia="Arial" w:hAnsi="Arial"/>
          <w:sz w:val="20"/>
          <w:szCs w:val="20"/>
          <w:color w:val="auto"/>
        </w:rPr>
      </w:pPr>
    </w:p>
    <w:p>
      <w:pPr>
        <w:jc w:val="both"/>
        <w:ind w:left="660" w:hanging="328"/>
        <w:spacing w:after="0" w:line="256"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Research &amp; Insight Solutions represents the custom solutions we provide that are tailored to our clients' specific needs. These offerings include custom TV, digital and cross-platform data feeds, as well as other data integrations. They also include our survey business, our Consumer Brand Health business, and other bespoke research, data and insight deliverables that help our clients better understand their business, competitive landscape, clients and market.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categorize our revenue along these two solution groups; however, our cost structure is tracked at the corporate level and not by our solution groups.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shared costs include employee costs, purchased data, operational overhead, data storage and technology that support both solution groups.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years ended December 31, 2025 and 2024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253,932</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71.0 %</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rPr>
              <w:t>(6,722)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Cross-Platform</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50,338</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41"/>
              <w:spacing w:after="0"/>
              <w:rPr>
                <w:sz w:val="20"/>
                <w:szCs w:val="20"/>
                <w:color w:val="auto"/>
              </w:rPr>
            </w:pPr>
            <w:r>
              <w:rPr>
                <w:rFonts w:ascii="Times New Roman" w:cs="Times New Roman" w:eastAsia="Times New Roman" w:hAnsi="Times New Roman"/>
                <w:sz w:val="16"/>
                <w:szCs w:val="16"/>
                <w:color w:val="auto"/>
              </w:rPr>
              <w:t>9,868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07"/>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2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304,270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341"/>
              <w:spacing w:after="0"/>
              <w:rPr>
                <w:sz w:val="20"/>
                <w:szCs w:val="20"/>
                <w:color w:val="auto"/>
              </w:rPr>
            </w:pPr>
            <w:r>
              <w:rPr>
                <w:rFonts w:ascii="Times New Roman" w:cs="Times New Roman" w:eastAsia="Times New Roman" w:hAnsi="Times New Roman"/>
                <w:sz w:val="16"/>
                <w:szCs w:val="16"/>
                <w:color w:val="auto"/>
              </w:rPr>
              <w:t>3,146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53,199</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21"/>
              <w:spacing w:after="0"/>
              <w:rPr>
                <w:sz w:val="20"/>
                <w:szCs w:val="20"/>
                <w:color w:val="auto"/>
              </w:rPr>
            </w:pPr>
            <w:r>
              <w:rPr>
                <w:rFonts w:ascii="Times New Roman" w:cs="Times New Roman" w:eastAsia="Times New Roman" w:hAnsi="Times New Roman"/>
                <w:sz w:val="16"/>
                <w:szCs w:val="16"/>
                <w:color w:val="auto"/>
              </w:rPr>
              <w:t>(1,724)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357,469</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6"/>
                <w:szCs w:val="16"/>
                <w:color w:val="auto"/>
              </w:rPr>
              <w:t>1,422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increased by $1.4 million, or 0.4%, for the year ended December 31, 2025 as compared to 2024.</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Content &amp; Ad Measurement revenue increased due to growth in our Cross-Platform revenue, primarily driven by increased usage of our Proximic and CCR products and adoption of our CCM offering, along with double-digit growth in local TV from new business and higher renewals. This growth was partially offset by a decrease in revenue from our Syndicated Audience offerings, primarily related to lower renewals of our national TV and syndicated digital products.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&amp; Insight Solutions revenue decreased primarily due to lower deliveries of certain custom digital products, partially offset by new business from our Consumer Brand Health products.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73.2 %</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74.4 %</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Cross-Platform</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07"/>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decreased by $15.3 million, or 4.1%, for the year ended December 31, 2024 as compared to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Content &amp; Ad Measurement revenue decreased due to lower revenue from our Syndicated Audience offerings, primarily related to lower renewals of our national TV and syndicated digital products, as well as lower variable cloud computing and processing reimbursements for certain custom TV data set deliveries. This decrease was partially offset by an increase in Cross-Platform revenue driven by increased usage of our Proximic products.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Insight Solutions revenue decreased primarily due to lower deliveries of certain custom digital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by Geographic Location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outside of the United States was $42.1 million, $37.7 million and $35.6 million for the years ended December 31, 2025, 2024, and 2023, respectively. Non-U.S. revenue increased in 2025 primarily due to an increase in revenue from our Syndicated Audience offerings.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generate the majority of our revenues from the sale and delivery of our products within the United States. For information with respect to sales by geographic markets, refer to </w:t>
      </w:r>
      <w:r>
        <w:rPr>
          <w:rFonts w:ascii="Times New Roman" w:cs="Times New Roman" w:eastAsia="Times New Roman" w:hAnsi="Times New Roman"/>
          <w:sz w:val="18"/>
          <w:szCs w:val="18"/>
          <w:u w:val="single" w:color="auto"/>
          <w:color w:val="0000FF"/>
        </w:rPr>
        <w:t>Footnote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the Notes to Consolidated Financial Statements. Our chief operating decision maker (our CEO) does not evaluate the profit or loss from any separate geography.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revenues from our U.S. sales will continue to constitute a substantial portion of our revenues in future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consists primarily of expenses related to producing our products, operating our network infrastructure, and the recruitment, maintenance and support of our consumer panels. These expenses include employee costs for salaries, benefits, stock-based compensation and other related personnel costs of network operations, survey operations, custom analytics and technical support, all of which are expensed as they are incurred. Cost of revenues also includes costs to obtain multichannel video programming distributor ("MVPD") data sets and panel, census-based and other data sets used in our products as well as operational costs associated with our data centers, including depreciation expense associated with computer equipment and internally developed software that supports our panels and systems. Additionally, cost of revenues includes allocated overhead, lease expense and other facilities-related costs and depreciation expense generated by general purpose equipment and software.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years ended December 31, 2025 and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Data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Royalties and resellers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Sample and survey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136.1 %</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212,761</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revenues increased by $4.1 million, or 1.9%, for the year ended December 31, 2025 as compared to 2024. Employee costs increased primarily due to a shift in headcount toward supporting our products and an increase in employee bonuses. Royalties and resellers costs increased primarily due to increased sales of products for which we pay royalties. Lease expense and depreciation increased primarily due to an increase in capitalized internal-use software. Panel costs increased primarily due to higher recruitment and support costs. Other expenses increased primarily due to higher contract fulfillment costs associated with the delivery of our Syndicated Audience products. Systems and bandwidth costs increased primarily due to higher cloud computing and processing costs attributable to certain custom TV data set deliveries. Data costs decreased primarily due to the December 2024 amendment to our data license agreement with Charter Communications Operating, LLC ("Charter Operating"), for which fees are now paid based on household counts provided during the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Data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Royalties and resellers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Sample and survey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increased by $3.1 million, or 1.5%, for the year ended December 31, 2024 as compared to 2023. Data costs increased primarily due to higher data licensing costs to expand our data footprint and data rights, as well as a credit of $2.5 million recognized in 2023 under the data licensing agreement with Charter Operating which did not recur in 2024. Lease expense and depreciation increased primarily due to higher depreciation driven by an increase in capitalized internal-use software and finance leases. Royalties and resellers costs increased primarily due to increased sales for products in which we pay royalties. Employee costs increased primarily due to a shift in headcount toward supporting our products. These increases were primarily offset by a decrease in systems and bandwidth costs primarily due to lower cloud computing and processing costs attributable to certain custom TV data set deliveries. Professional fees decreased primarily due to a change in cost allocation to better align costs with the services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employee costs, including salaries, benefits, commissions, stock-based compensation and other related costs for personnel associated with sales and marketing activities, as well as costs related to online and offline advertising, industry conferences, promotional materials, public relations, other sales and marketing programs and allocated overhead, lease expense and other facilities-related costs, and depreciation expense generated by general purpose equipment and software.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 for the years ended December 31, 2025 and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by $2.3 million, or 4.0%, for the year ended December 31, 2025 as compared to 2024. Employee costs increased primarily due to an increase in employee bonuses, along with severance expense for terminated employees.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decreased by $5.7 million, or 9.0%, for the year ended December 31, 2024 as compared to 2023. Employee costs decreased primarily due to a decrease in employee headcount related to our restructuring plan and a decrease in commissions.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product development costs, consisting primarily of employee costs including salaries, benefits, stock-based compensation and other related costs for personnel associated with research and development activities, third-party expenses to develop new products, third-party data costs, allocated overhead, lease expense and other facilities-related costs, and depreciation expense related to general purpose equipment and software.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2025 and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$2.9 million, or 8.7%, for the year ended December 31, 2025 as compared to 2024. Employee costs decreased primarily due to a shift in headcount toward supporting our products.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26,628</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$0.6 million, or 1.9%, for the year ended December 31, 2024 as compared to 2023. Employee costs decreased primarily due to a shift in headcount toward supporting our products. This decrease was offset by an increase in professional fees primarily due to a change in cost allocation to better align costs with the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costs including salaries, benefits, stock-based compensation and other related costs, and related expenses for executive management, finance, human capital, legal and other administrative functions, as well as professional fees, overhead, including allocated overhead, lease expense and other facilities-related costs, depreciation expense related to general purpose equipment and software, amortization of cloud-computing implementation costs, changes in the fair value of our contingent consideration liability, Board of Directors compensation and expenses incurred for other general corporate purposes.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47,594</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$0.1 million, or 0.2%, for the year ended December 31, 2025 as compared to 2024. Other costs decreased primarily due to lower non-income taxes. Employee costs increased primarily due to an increase in employee bonuses and severance expense for terminated employees, partially offset by a decrease in stock-based compensation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$3.5 million, or 6.9%, for the year ended December 31, 2024 as compared to 2023. Employee costs decreased primarily due to a decrease in employee headcount related to our restructuring plan and a decrease in employee bonus expense. Professional fees decreased primarily due to a decrease in corporate insurance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consists of charges related to the amortization of intangible assets associated with acquisitions, primarily our 2021 acquisition of Shareablee. Amortization of intangible assets decreased by $0.5 million, or 17.3%, for 2025 as compared to 2024 and by $2.2 million, or 41.4%, for 2024 as compared to 2023. The decrease in amortization of intangible assets in 2024 was primarily due to amortization related to certain customer relationships, methodologies and technology intangibles related to our 2016 Rentrak merger reaching the end of their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a quantitative impairment test on our annual testing date as of October 1, 2025. No impairment charge related to goodwill was incurred during the year ended December 31, 2025.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2024, we performed an interim impairment review of our goodwill in conjunction with our October 1, 2024 annual testing date. Our reporting unit did not pass the goodwill impairment test, and as a result we recorded a $63.0 million non-cash impairment charge in the quarter ended September 30, 2024.</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a quantitative impairment test on our annual testing date as of October 1, 2023. Our reporting unit did not pass the goodwill impairment test, and as a result we recorded a $34.1 million non-cash impairment charge in the quarter ended December 31, 2023.</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2023, we performed an interim impairment review of our goodwill. Our reporting unit did not pass the goodwill impairment test, and as a result we recorded a $44.1 million non-cash impairment charge in the quarter ended June 30,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information refer to </w:t>
      </w:r>
      <w:r>
        <w:rPr>
          <w:rFonts w:ascii="Times New Roman" w:cs="Times New Roman" w:eastAsia="Times New Roman" w:hAnsi="Times New Roman"/>
          <w:sz w:val="18"/>
          <w:szCs w:val="18"/>
          <w:u w:val="single" w:color="auto"/>
          <w:color w:val="0000FF"/>
        </w:rPr>
        <w:t>Footnote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i w:val="1"/>
          <w:iCs w:val="1"/>
          <w:color w:val="auto"/>
        </w:rPr>
        <w:t>, Critical Accounting Estimates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Right-of-use and Long-lived Assets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2024, we recorded an impairment charge of $1.4 million related to certain office space lease right-of-use assets and associated leasehold improvements. The impairment charge was driven by the execution of a sublease for an office space for which expected cash receipts were less than the cash disbursements for the primary lease.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quarter ended September 30, 2023, we recorded an impairment charge of $1.5 million related to certain office space lease right-of-use assets and related long-lived assets. The impairment charge was driven by our abandonment of certain leased office spaces prior to the end of the lease terms.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 impairment charge related to right-of-use and long-lived assets was incurred during the year ended December 31, 2025. For further information refer to </w:t>
      </w:r>
      <w:r>
        <w:rPr>
          <w:rFonts w:ascii="Times New Roman" w:cs="Times New Roman" w:eastAsia="Times New Roman" w:hAnsi="Times New Roman"/>
          <w:sz w:val="18"/>
          <w:szCs w:val="18"/>
          <w:u w:val="single" w:color="auto"/>
          <w:color w:val="0000FF"/>
        </w:rPr>
        <w:t>Footnote 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Summary of Significant Accounting Policies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incurred restructuring expenses of $1.0 million and $6.2 million for the years ended December 31, 2024 and 2023, respectively, related to the implementation of a restructuring plan that included a workforce reduction communicated in 2022. The 2022 restructuring plan was substantially completed in 2024. For further information refer to </w:t>
      </w:r>
      <w:r>
        <w:rPr>
          <w:rFonts w:ascii="Times New Roman" w:cs="Times New Roman" w:eastAsia="Times New Roman" w:hAnsi="Times New Roman"/>
          <w:sz w:val="18"/>
          <w:szCs w:val="18"/>
          <w:u w:val="single" w:color="auto"/>
          <w:color w:val="0000FF"/>
        </w:rPr>
        <w:t>Footnote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Restructuring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consists of interest income and interest expense. Interest income primarily consists of interest earned from our cash and cash equivalent balances. Interest expense primarily relates to interest and amortization of debt issuance costs under our Credit Agreement, a prior credit agreement and our finance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net, increased $4.8 million in 2025 to $6.7 million as compared to $1.9 million in 2024. The increase in interest expense was primarily due to the increase in debt balance related to the Credit Agreement we executed on December 31, 2024, as described in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net, increased $0.4 million in 2024 to $1.9 million as compared to $1.4 million in 2023. The increase in interest expense was primarily due to a higher interest rate on debt under our prior credit agreement, as described in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From Foreign Currency Transactions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currency transactions are recorded as a result of fluctuations in the exchange rate between the transactional currency and the functional currency of foreign subsidiary transactions, primarily resulting in non-cash unrealized gains and losses. Our foreign currency exposures that relate to the translation to and from U.S. Dollars are in a net liability position.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loss from foreign currency transactions was $5.9 million. The loss was primarily driven by fluctuations in the U.S. Dollar against the Chilean Peso, Euro and Canadian Dollar.</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gain from foreign currency transactions was $1.4 million. The gain was primarily driven by fluctuations in the U.S. Dollar against the Chilean Peso, Euro and Canadian Dollar and the Chilean Peso against the Euro.</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loss from foreign currency transactions was $2.8 million. The loss was primarily driven by fluctuations in the Chilean Peso against the U.S. Dollar and Euro and the U.S. Dollar against the Euro and Argentine Peso.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has been established against our net U.S. federal and state deferred tax assets and certain foreign deferred tax assets, including net operating loss carryforwards. As a result, our income tax position is primarily related to foreign tax activity and U.S. deferred taxes for tax deductible goodwill and other indefinite-lived liabilities.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we recorded an income tax provision of $1.9 million, $0.9 million, and $1.5 million, resulting in an effective tax rate of 23.9%, 1.6%, and 2.0%, respectively. These effective tax rates differ from the U.S. federal statutory rate primarily due to the effects of certain permanent items, foreign tax rate differences, changes in the valuation allowance against our domestic deferred tax assets and income tax benefit related to the impairment of goodwill.</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2025 is an income tax benefit of $8.0 million for a decrease in the valuation allowance recorded against our deferred tax assets to offset the tax expense of our operating losses in the U.S. and certain foreign jurisdictions. Income tax expense of $2.4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2024 is an income tax adjustment of $17.2 million related to the impairment of goodwill. Also included in the total tax expense is an income tax benefit of $2.5 million for a decrease in the valuation allowance recorded against our deferred tax assets to offset the tax expense of our operating losses in the U.S. and certain foreign jurisdictions. Income tax expense of $0.9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within tax expense for the year ended December 31, 2023 is an income tax adjustment of $20.9 million related to the impairment of goodwill. Also included in the total tax expense is an income tax expense of $15.1 million for an increase in the valuation allowance recorded against our deferred tax assets to offset the tax benefit of our operating losses in the U.S. and certain foreign jurisdictions. Income tax expense of $0.7 million has also been included for permanent differences in the book and tax treatment of certain stock-based compensation, executive compensation, and other nondeductible expenses. These tax adjustments, along with state and local taxes, are the primary drivers of the annual effective income tax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identified: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uses of cash consist of cash paid for data, payroll and other operating expenses; payments related to investments in equipment, primarily to support our consumer panels and technical infrastructure required to deliver our products and services and support our customers; and service of our debt and lease facilities.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our principal sources of liquidity consisted of cash, cash equivalents and restricted cash totaling $26.8 million, including $3.2 million in restricted cash (primarily related to letters of credit); cash flows from our operations; and amounts available to us under our Credit Agreement, as described below. We had outstanding letters of credit of $2.8 million as of December 31, 2025.</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29, 2025, each of the Investors exchanged 31,928,301 shares of Series B Preferred Stock for (i) 4,223,621 shares of Series C Preferred Stock and (ii) 3,286,825 shares of Common Stock (the "Recapitalization"). Pursuant to the Recapitalization, we retired the shares of Series B Preferred Stock and eliminated from our Amended and Restated Certificate of Incorporation all matters set forth in the Certificate of Designations of the Series B Preferred Stock, including the annual dividend rights provided therein. We also eliminated a special cash dividend right set forth in our previous stockholders agreement with the Investors. Additionally, as part of the Recapitalization, we agreed to a fixed cash payment of $2.0 million to each of the Investors on June 30, 2028, regardless of whether the Investors continue to own any of our securities on the payment date. For further information, refer to </w:t>
      </w:r>
      <w:r>
        <w:rPr>
          <w:rFonts w:ascii="Times New Roman" w:cs="Times New Roman" w:eastAsia="Times New Roman" w:hAnsi="Times New Roman"/>
          <w:sz w:val="18"/>
          <w:szCs w:val="18"/>
          <w:u w:val="single" w:color="auto"/>
          <w:color w:val="0000FF"/>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Organization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Convertible Redeemable Preferred Stock and Stockholders' Equity (Deficit)</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Recapitalization, we entered into an amendment to our Credit Agreement to permit the exchange and the issuance of Series C Preferred Stock. For additional information on the Credit Agreement,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2025, prior to the Recapitalization, each Investor waived its right to receive on June 30, 2025 the annual dividends otherwise payable by us on that date. Under the waivers and the prior Certificate of Designations, the deferred dividends accrued and accumulated at a rate of 9.5% per year from June 30, 2025 until they were extinguished as part of the Recapitalization. No shares of Series B Preferred Stock or related dividend obligations were outstanding as of December 31, 2025.</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2024, we entered into the Credit Agreement with Blue Torch Finance LLC. The Credit Agreement has a term of four years and matures in December 2028. The Credit Agreement provides a borrowing capacity of $60.0 million consisting of a $45.0 million term loan that was fully funded at closing (the "Term Loan") and a $15.0 million revolving credit facility that was unfunded at closing (the "Revolving Facility"). Initial proceeds from the Term Loan were used to resolve our aged accounts payable, cash collateralize our outstanding letters of credit, pay transaction fees and expenses, and strengthen our cash position. As of December 31, 2025, we had no borrowings outstanding under the Revolving Facility, with remaining borrowing capacity of $15.0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Factors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macroeconomic challenges such as inflation, capital market disruptions and recession concerns have caused some advertisers to reduce or delay advertising expenditures. Recent geopolitical conflicts and developments in U.S. trade policy have created additional uncertainty, contributing to further spending delays by advertisers. These delays and declines have had a direct impact on demand for our products, particularly those that are tied to advertising spend. We expect that softness in the advertising market will continue to affect our business in 2026. Although we cannot quantify the impact of macroeconomic factors on our future results, any worsening of ad market conditions could negatively impact our financial position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10, 2021, we issued 82,527,609 shares of Series B Preferred Stock in exchange for gross cash proceeds of $204.0 million. Net proceeds from the issuance totaled $187.9 million after deducting issuance costs. Shares of Series B Preferred Stock were convertible into Common Stock as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Convertible Redeemable Preferred Stock and Stockholders' Equity (Deficit).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Series B Preferred Stock were entitled to participate in all dividends declared on the Common Stock on an as-converted basis and were also entitled to a cumulative dividend at the rate of 7.5% per annum, payable annually in arrears and subject to increase under certain specified circumstances (including in connection with the dividend waivers described below). In addition, such holders were entitled to request,</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we would have had to take all actions reasonably necessary to pay, a one-time special dividend on the Series B Preferred Stock equal to the highest dividend that our Board of Directors determined could be paid at the applicable time (or a lesser amount agreed by the holders).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 annual meeting held on June 15, 2023, our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us on that date. Upon receipt of the waivers, our Board elected to defer the June 2023 payment. Under the waivers and the Certificate of Designations of Series B Preferred Stock, the deferred dividends would accrue and accumulate at a rate of 9.5% per year from June 30, 2023 until declared and paid, with payment to occur on or before December 31, 2023.</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our Series B Preferred Stock waived its right to receive the deferred dividends on or before December 31, 2023. Under these waivers and the Certificate of Designations of Series B Preferred Stock, the deferred dividends would continue to accrue at a rate of 9.5% per year until declared and paid, with payment to occur on or before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Series B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of Series B Preferred Stock, the deferred dividends for both periods (2023 and 2024) would continue to accrue and accumulate at a rate of 9.5% per year until declared and paid, with payment to occur on or before July 31, 2024.</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2024, we issued 13,257,294 additional shares of Series B Preferred Stock to the Investors in exchange for cancellation of our obligation to pay the deferred dividends described above, which totaled $32.8 million on the issuance date. On the date of issuance, the additional shares of Series B Preferred Stock were convertible into 662,862 shares of our Common Stock, representing an effective conversion price of $49.438 per share for the canceled dividend obligation. The additional shares of Series B Preferred Stock had the same terms and conditions as the Series B Preferred Stock previously issued, including that holders were entitled to cumulative dividends at a rate of 7.5% per annum, payable annually in arrears and subject to increase under certain circumstances.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issuance, we also entered into an amendment to the prior stockholders agreement with the Investors. Among other things, the amendment reduced the $100.0 million special dividend threshold set forth in the prior stockholders agreement by an amount equal to the liquidation preference of the additional Series B Preferred Stock ($32.8 million). After further reducing the threshold by annual dividends paid in prior years, the special dividend threshold was $47.0 million.</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each holder of our Series B Preferred Stock waived its right to receive on June 30, 2025 the annual dividends otherwise payable by us on that date. Under the waivers and the Certificate of Designations of Series B Preferred Stock, the deferred dividends accrued and accumulated at a rate of 9.5% per year from June 30, 2025 until they were extinguished as part of the Recapitalization.</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29, 2025, each Investor exchanged 31,928,301 shares of Series B Preferred Stock for (i) 4,223,621 shares of Series C Preferred Stock and (ii) 3,286,825 shares of Common Stock. Holders of Series C Preferred Stock are entitled to convert the Series C Preferred Stock into shares of Common Stock and to vote as a single class with the holders of Common Stock as set forth in the Certificate of Designations of Series C Preferred Stock. Additionally, as part of the Recapitalization, we agreed to a fixed cash payment of $2.0 million to each of the Investors on June 30, 2028, regardless of whether the Investors continue to own any of our securities on the payment date. The Recapitalization resulted in the retirement of all shares of Series B Preferred Stock and the elimination of related annual and special dividend rights. For further information, refer to </w:t>
      </w:r>
      <w:r>
        <w:rPr>
          <w:rFonts w:ascii="Times New Roman" w:cs="Times New Roman" w:eastAsia="Times New Roman" w:hAnsi="Times New Roman"/>
          <w:sz w:val="18"/>
          <w:szCs w:val="18"/>
          <w:u w:val="single" w:color="auto"/>
          <w:color w:val="0000FF"/>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Preferred Stock and Stockholders' Equity (Deficit).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shares of Series C Preferred Stock had been converted into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Credit Agreement</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we entered into the Credit Agreement with Blue Torch Finance LLC. The Credit Agreement has a term of four years and matures in December 2028. The Credit Agreement provides a borrowing capacity of $60.0 million consisting of the $45.0 million Term Loan and the $15.0 million Revolving Facility. As of December 31, 2025, the interest rate for the Term Loan was 10.93% based on the Adjusted Term SOFR rate, as defined in the Credit Agreement. In addition, the Credit Agreement provides for an unused commitment fee equal to 1.0% per annum of the unused Revolving Facility.</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outstanding under the Credit Agreement must be prepaid from time to time with the net cash proceeds of certain debt incurrences, equity issuances, asset sales and other dispositions, insurance and condemnation proceeds, tax refunds and other extraordinary receipts. Additionally, we may be required to prepay the loans annually with Excess Cash Flow (as defined in the Credit Agreement) at specified percentages, or we may voluntarily prepay a portion of the loans in order to maintain compliance with our financial covenants, as we anticipate doing in the first quarter of 2026. Certain payments may be subject to prepayment premiums.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financial covenants that require us to maintain a maximum Senior Leverage Ratio and minimum Liquidity (each term as defined in the Credit Agreement) during the term of the facility. Additionally, the Credit Agreement contains restrictive covenants that limit our ability to, among other things, incur additional indebtedness and liens, make investments and loans, enter into mergers and acquisitions, make or declare dividends and other payments, enter into certain contracts, sell assets and engage in transactions with affiliates. As of December 31, 2025, we were in compliance with our covenants under the Credit Agreement.</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$44.6 million outstanding under the Term Loan and no borrowings outstanding under the Revolving Facility, with a remaining borrowing capacity of $15.0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the Credit Agreement,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represents collateralized letters of credit and security deposits for subleased office space. As of December 31, 2025 and 2024, we had $3.2 million and $3.5 million of restricted cash,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 of cash provided by operating activities is revenues generated from sales of our products and services. Our primary uses of cash from operating activities include personnel costs and costs related to data and infrastructure used to develop and maintain our products and services.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calculated by adjusting our net loss for changes in working capital, as well as by excluding non-cash items such as: depreciation, unrealized foreign currency loss (gain), non-cash operating lease expense, stock-based compensation, amortization expense of finance leases and intangible assets, impairment of right-of-use and long-lived assets and goodwill, and deferred tax provision (benefit).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2025 was $22.7 million compared to $18.1 million in 2024. The increase in cash provided by operating activities was partially attributable to a net decrease in cash used by operating assets and liabilities, with $13.5 million of cash used for the year ended December 31, 2025 as compared to $23.8 million for the year ended December 31, 2024. This was primarily due to higher vendor payments in 2024 (including aged accounts payable resolved at year-end with proceeds from the Term Loan) and higher cash receipts from customers in 2025. The decrease was offset by lower contract liabilities and customer advances in 2025, and higher interest payments due to the increase in debt balance related to the Credit Agreement executed on December 31, 2024.</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2024 was $18.1 million compared to $28.9 million in 2023. The decrease in cash provided by operating activities was partially attributable to a net decrease in cash generated from operating assets and liabilities, with $23.8 million of cash used for the year ended December 31, 2024 as compared to $10.5 million for the year ended December 31, 2023. This was primarily due to lower revenue, higher vendor payments (including aged accounts payable resolved at year-end with proceeds from the Term Loan), and the timing of cash receipts from customers in 2024. Other contributors included lower adjustments for amortization of intangible assets and stock-based compensation expense in 2024 compared to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primarily consists of payments related to capitalized internal-use software costs, purchases of computer and network equipment to support our technical infrastructure, and furniture and equipment. The extent of these investments will be affected by our ability to expand relationships with existing customers, grow our customer base and introduce new digital formats, as well as constraints on cash expenditures due to our financial position and the current economic environment.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 2025 was $23.4 million compared to $24.1 million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 2024 was $24.1 million compared to $23.8 million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2025 was $7.0 million compared to net cash provided by financing activities of $17.6 million in 2024. The increase in net cash used in financing activities in 2025 was driven primarily by the payment of issuance costs related to the Recapitalization and higher finance lease principal payments. The cash provided by financing activities in 2024 was primarily due to net proceeds of $40.4 million from the Credit Agreement. This was offset by the repayment of $16.0 million under our prior credit agreement and the payment of the second installment of contingent consideration for our 2021 Shareablee acquisition.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2024 was $17.6 million compared to net cash used in financing activities of $3.4 million in 2023. The increase in cash provided by financing activities was primarily due to net proceeds of $40.4 million from the Credit Agreement in 2024. This was offset by the repayment of $16.0 million under the prior credit agreement and the payment of the second installment of contingent consideration for our 2021 Shareablee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Payment Obligations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long-term contractual arrangements that have fixed and determinable payment obligations including purchase obligations with MVPDs and connected TV data providers, operating and financing leases, and data storage and bandwidth arrangements.</w:t>
      </w: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data licensing agreements with a number of MVPDs and other providers for set-top box and connected TV data. These agreements have remaining terms of less than one year to six years. As of December 31, 2025, the total fixed payment obligations related to set-top box and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connected TV data agreements are $98.5 million and $22.7 million, respectively. In addition, we expect to make variable payments related to a set-top box data agreement totaling an estimated $86.0 million over the next six years.</w:t>
      </w: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both operating and financing leases related to corporate office space and equipment. Our leases have remaining terms of less than one year to five years. As of December 31, 2025, the total fixed payment obligation related to these agreements is $22.3 million.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amended an agreement for cloud-based data storage and bandwidth services to help process and store our data, extending the term through 2028. The remaining term for this agreement is three years. As of December 31, 2025, the total fixed payment obligation related to this agreement is $56.1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generate cash is subject to our performance, general economic conditions, industry trends and other factors, including the timing of cash collections from our customers, data costs and other trade payables, service of our debt and lease facilities, and expenses from ongoing compliance efforts, legal matters, and strategic transactions. To the extent that our existing cash, cash equivalents and operating cash flow, together with savings from cost-reduction initiatives undertaken by our management and amounts available to us under the Revolving Facility, are insufficient to fund our future activities and requirements, we may need to raise additional funds through public or private equity or debt financing. We may also be required to (or choose to) prepay or refinance our Credit Agreement, including to maintain compliance with our financial covenants. Our history of net losses, as well as disruption and volatility in global capital and credit markets, could impact our ability to access capital resources on terms acceptable to us or at all. If we issue additional equity securities in order to raise additional funds or for other purposes, further dilution to existing stockholders may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generally accepted accounting principles in the U.S. ("GAAP"). The preparation of these financial statements requires us to make estimates, assumptions and judgments that affect the amounts reported in our Consolidated Financial Statements and the accompanying Notes to Consolidated Financial Statements. We base our estimates on historical experience and on various other assumptions that we believe to be reasonable under the circumstances.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accounting estimates and assumptions discussed in this section are those that we consider to be the most critical to an understanding of our financial condition and results of operations because they involve significant judgments and uncertainties. Actual results in these areas could differ from management's estimates. Refer to </w:t>
      </w:r>
      <w:r>
        <w:rPr>
          <w:rFonts w:ascii="Times New Roman" w:cs="Times New Roman" w:eastAsia="Times New Roman" w:hAnsi="Times New Roman"/>
          <w:sz w:val="18"/>
          <w:szCs w:val="18"/>
          <w:u w:val="single" w:color="auto"/>
          <w:color w:val="0000FF"/>
        </w:rPr>
        <w:t>Footnote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further information on our most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under the core principle of depicting the transfer of promised goods and services to our customers in an amount that reflects the consideration to which we expect to be entitled. Significant judgments used in the determination of the amount and timing of our revenue recognition include the identification of distinct performance obligations and the allocation of contract consideration among individual performance obligations based on their relative standalone selling price ("SSP").</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obligations are identified by evaluating whether the promised goods and services are capable of being distinct and distinct within the context of the contract. We have a limited number of monetary contracts with MVPDs that involve both the purchase and sale of services with a single counterparty. Each contract is assessed to determine if the goods and services exchanged between the two parties represent distinct performance obligations which can entail significant judgment. The conclusion regarding whether goods and services exchanged are distinct determines whether consideration received from the counterparty is recognized as revenues (up to the SSP of the distinct goods or services), or as a reduction to the purchase price of the goods or services recorded in our cost of revenues.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its relative SSP. In most sales contracts, we bundle multiple products and very few are sold on a standalone basis. As a result, our SSP is not directly observable and we have to develop internal estimates using information that is reasonably available to us. Our SSP is primarily developed using an adjusted market approach supported by rate cards and pricing calculators that are periodically reviewed and updated to reflect the best available information. Bundled arrangements may include a combination of distinct goods and services where some are satisfied over time and others are satisfied at a point in time. Changes to the SSP will impact the amount of consideration allocated to each performance obligation, which could have an impact on the timing and amount of revenues recognized in future periods as our performance obligations are satisfied. The determination of SSP also impacts the amount of revenues we can recognize in transactions where consideration is exchanged with counterparties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of goodwill involves the use of management's estimates and assumptions and can have a significant impact on future operating results. Goodwill is not amortized but is evaluated for impairment at least annually, as of October 1, by comparing the fair value of a reporting unit to its carrying value including goodwill recorded by the reporting unit.</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one reporting unit. As such, we perform the impairment assessment for goodwill at the enterprise level. Goodwill is reviewed for possible impairment between annual tests if an event occurs or circumstances change that would more likely than not reduce the fair value of</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reporting unit below the carrying value. In assessing the possibility that our reporting unit's fair value has been reduced below its carrying value due to the occurrence of events or circumstances between annual impairment testing dates, we consider all available evidence including, but not limited to: (i) the results of our impairment testing from the most recent testing date (in particular, the magnitude of the excess of fair value over carrying value observed),</w:t>
      </w:r>
    </w:p>
    <w:p>
      <w:pPr>
        <w:spacing w:after="0" w:line="1" w:lineRule="exact"/>
        <w:rPr>
          <w:sz w:val="20"/>
          <w:szCs w:val="20"/>
          <w:color w:val="auto"/>
        </w:rPr>
      </w:pPr>
    </w:p>
    <w:p>
      <w:pPr>
        <w:ind w:firstLine="8"/>
        <w:spacing w:after="0" w:line="260" w:lineRule="auto"/>
        <w:tabs>
          <w:tab w:leader="none" w:pos="2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to internal forecasts, if any, (iii) declines in market capitalization below book value (and the magnitude and duration of those declines), if any, and (iv) changes in general industry, market and macroeconomic conditions.</w:t>
      </w:r>
    </w:p>
    <w:p>
      <w:pPr>
        <w:spacing w:after="0" w:line="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reporting unit using a combination of the income and market approaches. The results from each of these approaches are weighted appropriately taking into account the relevance and availability of data at the time we perform the valuation.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income approach, the fair value is determined using a discounted cash flow model based on projected financial performance and discount rates that take into account an appropriate risk-adjusted return. The discounted cash flow model requires the use of various assumptions in developing the present value of projected cash flows, the following of which are significant to our analysis:</w:t>
      </w:r>
    </w:p>
    <w:p>
      <w:pPr>
        <w:spacing w:after="0" w:line="5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Projected financial performance: </w:t>
      </w:r>
      <w:r>
        <w:rPr>
          <w:rFonts w:ascii="Times New Roman" w:cs="Times New Roman" w:eastAsia="Times New Roman" w:hAnsi="Times New Roman"/>
          <w:sz w:val="18"/>
          <w:szCs w:val="18"/>
          <w:color w:val="auto"/>
        </w:rPr>
        <w:t>expected future cash flows and growth rates are based upon assumptions of our future revenue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costs. Actual results of operations and cash flows will likely differ from those utilized in our discounted cash flow analysis, and it is possible that those differences could be material.</w:t>
      </w:r>
    </w:p>
    <w:p>
      <w:pPr>
        <w:spacing w:after="0" w:line="3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growth rate: </w:t>
      </w:r>
      <w:r>
        <w:rPr>
          <w:rFonts w:ascii="Times New Roman" w:cs="Times New Roman" w:eastAsia="Times New Roman" w:hAnsi="Times New Roman"/>
          <w:sz w:val="18"/>
          <w:szCs w:val="18"/>
          <w:color w:val="auto"/>
        </w:rPr>
        <w:t>the long-term growth rate represents the rate at which our single reporting unit's earnings are expected to grow or losses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Our assumed long-term growth rate was based on projected long-term inflation and gross domestic product growth estimates for the countries in which we operate and a long-term growth estimate for our business and the industry in which we operate. The long-term growth rate selected for the 2025, 2024 and 2023 annual impairment analyses was 3.0%.</w:t>
      </w:r>
    </w:p>
    <w:p>
      <w:pPr>
        <w:spacing w:after="0" w:line="5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our reporting unit's future cash flows are discounted at a rate that is consistent with our average weighted cost of capital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likely to be utilized by market participants. The weighted-average cost of capital is our estimate of the overall returns required by both debt and equity investors, weighted by their respective contributions of capital. We use discount rates that are commensurate with the risks and uncertainty inherent in our business and in our internally-developed forecasts. The discount rates selected for the 2025, 2024 and 2023 annual impairment analyses were 16.0%, 24.5% and 22.0%, respectively. Our selected discount rate was lower in 2025 in comparison to 2024 primarily due to the decrease in company-specific risk premium ("CSRP"). The decrease in CSRP was related to a decrease in operational risk in earnings before interest, taxes, depreciation, and amortization.</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market approach, the fair value is determined using certain financial metrics of publicly traded companies or historically completed transactions of comparable businesses. The selection of comparable businesses requires judgment and is based on the markets in which we operate giving consideration to, amongst other things, risk profiles, size and geography. The market approach may also be limited in instances where there is a lack of recently executed transactions of comparable businesses. We determine fair value primarily based on selected market multiples based on current and projected revenues compared to business enterprise value, with an estimated control premium as applicable.</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allocated to our single reporting unit as of December 31, 2025 was $248.6 million. As of our most recent annual assessment, which was conducted as of October 1, 2025, the estimated fair value of our reporting unit exceeded its carrying value by approximately 16%. The projected long-term cash flows used in our fair value estimate are consistent with our most recent operating plan as of the evaluation date and are dependent on the successful execution of our business plan, overall industry growth rates and the competitive environment.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for events and circumstances that could negatively impact the key assumptions in determining the fair value of our goodwill, including long-term growth projections, profitability, discount rates, volatility in our market capitalization, and general industry, market and macroeconomic conditions. The judgments and estimates described above could change in future periods. If the reporting unit's future performance falls below our expectations, or if there are negative revisions to our fair value assumptions, including those that are significant and discussed above, we may need to record a material, non-cash goodwill impairment charge in a future period.</w:t>
      </w:r>
    </w:p>
    <w:p>
      <w:pPr>
        <w:spacing w:after="0" w:line="260"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As of December 31, 2025, we have interest rate risk in connection with the Term Loan under the Credit Agreement and foreign currency exchange rate risk from our global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borrowings bear interest at rates determined based on either the Adjusted Term SOFR rate or the Reference Rate (each as defined in the Credit Agreement). As of December 31, 2025, our Term Loan bore interest at a variable rate based on the Adjusted Term SOFR rate. As a result, we are subject to interest rate risk based on the Adjusted Term SOFR rate, and our interest obligation on outstanding borrowings will fluctuate with movements in the Adjusted Term SOFR rate. As of December 31, 2025, the stated interest rate on the Term Loan was 10.93%, per annum.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voluntary or mandatory prepayments of the Term Loan, as prescribed by the Credit Agreement, are subject to prepayment premiums as follows: (i) with respect to any such payment occurring on or before December 31, 2025, a 3.0% prepayment premium plus a make-whole amount based on U.S. Treasury notes yield, (ii) with respect to any such payment occurring after December 31, 2025 and on or before December 31, 2026, a 1.0% prepayment premium, and (iii) with respect to any such payment occurring after December 31, 2026, no prepayment premium.</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our exposure to interest rate risk calculated using the Adjusted Term SOFR rate was not material. As of December 31, 2025, our exposure to interest rate risk related to prepayment breakage costs and prepayment premiums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globally, and we predominantly generate revenues and expenses in local currencies. We operate in several countries in Europe, as well as countries throughout South America and Asia Pacific. As such, we have exposure to adverse changes in exchange rates associated with revenues and operating expenses of our foreign operations. We have not engaged in any transactions that hedge foreign currency exchange rate risk.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exchange rates will remain constant in future periods. In addition to the impact from the U.S. Dollar to Euro exchange rate movements, we are also impacted by the movements in the exchange rates between the U.S. Dollar and various South American, Asia Pacific and other European currencies. We performed a sensitivity analysis, assuming a 10% decrease or increase in the value of foreign currencies in which we operate. We determined that a 10% decrease in value would have resulted in a decrease to our net loss of approximately $9.3 million and a 10% increase in value would have resulted in an increase to our net loss of approximately $11.2 million for the year ended December 31,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of our total $26.8 million in cash and cash equivalents, including restricted cash, $11.9 million was held by foreign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amount, we believe $3.0 million could be subject to income tax withholding of 5% to 15% if the funds were repatriated to the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w:t>
            </w:r>
            <w:r>
              <w:rPr>
                <w:rFonts w:ascii="Times New Roman" w:cs="Times New Roman" w:eastAsia="Times New Roman" w:hAnsi="Times New Roman"/>
                <w:sz w:val="18"/>
                <w:szCs w:val="18"/>
                <w:color w:val="0019FF"/>
              </w:rPr>
              <w:t>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19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3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7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1"/>
        </w:trPr>
        <w:tc>
          <w:tcPr>
            <w:tcW w:w="20" w:type="dxa"/>
            <w:vAlign w:val="bottom"/>
          </w:tcPr>
          <w:p>
            <w:pPr>
              <w:spacing w:after="0"/>
              <w:rPr>
                <w:sz w:val="20"/>
                <w:szCs w:val="20"/>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comScore, Inc. Consolidated Financial Statements</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0440" w:type="dxa"/>
            <w:vAlign w:val="bottom"/>
            <w:gridSpan w:val="8"/>
          </w:tcPr>
          <w:p>
            <w:pPr>
              <w:spacing w:after="0" w:line="181"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7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0000FF"/>
              </w:rPr>
              <w:t>43</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540" w:type="dxa"/>
            <w:vAlign w:val="bottom"/>
            <w:tcBorders>
              <w:top w:val="single" w:sz="8" w:color="0000FF"/>
            </w:tcBorders>
            <w:gridSpan w:val="3"/>
          </w:tcPr>
          <w:p>
            <w:pPr>
              <w:spacing w:after="0"/>
              <w:rPr>
                <w:sz w:val="17"/>
                <w:szCs w:val="17"/>
                <w:color w:val="auto"/>
              </w:rPr>
            </w:pPr>
          </w:p>
        </w:tc>
        <w:tc>
          <w:tcPr>
            <w:tcW w:w="5220" w:type="dxa"/>
            <w:vAlign w:val="bottom"/>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r>
      <w:tr>
        <w:trPr>
          <w:trHeight w:val="196"/>
        </w:trPr>
        <w:tc>
          <w:tcPr>
            <w:tcW w:w="20" w:type="dxa"/>
            <w:vAlign w:val="bottom"/>
          </w:tcPr>
          <w:p>
            <w:pPr>
              <w:spacing w:after="0"/>
              <w:rPr>
                <w:sz w:val="17"/>
                <w:szCs w:val="17"/>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47</w:t>
            </w:r>
          </w:p>
        </w:tc>
      </w:tr>
      <w:tr>
        <w:trPr>
          <w:trHeight w:val="20"/>
        </w:trPr>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CONSOLIDATED STATEMENT OF CHANGES IN CONVERTIBLE REDEEMABLE PREFERRED STOCK AND STOCKHOLDERS' EQUITY (DEFICIT)</w:t>
            </w: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r>
      <w:tr>
        <w:trPr>
          <w:trHeight w:val="196"/>
        </w:trPr>
        <w:tc>
          <w:tcPr>
            <w:tcW w:w="2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6820" w:type="dxa"/>
            <w:vAlign w:val="bottom"/>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NOTES TO CONSOLIDATED FINANCIAL STATEMENTS</w:t>
            </w:r>
          </w:p>
        </w:tc>
        <w:tc>
          <w:tcPr>
            <w:tcW w:w="6400" w:type="dxa"/>
            <w:vAlign w:val="bottom"/>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comScore,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comScore, Inc. and subsidiaries (the "Company") as of December 31, 2025 and 2024, the related consolidated statements of operations and comprehensive loss, changes in convertible redeemable preferred stock and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right="4480"/>
        <w:spacing w:after="0" w:line="3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 Certain Complex Contracts – Refer to Notes 2 and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its customers in an amount reflecting the consideration to which it expects to be entitled. 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 variable consideration are subject to constraint based on expected recovery from the customer.</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based on relative standalone selling price ("SSP"). The Company recognizes revenue when (or as) it satisfies a performance obligation by transferring promised goods or services to a customer. Customers may obtain the control of promised goods or services over time or at a point in time.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complexity of certain of the Company's contracts, such as contracts with multichannel video programming distributors ("MVPDs") that involve both the purchase and sale of services with a single counterparty, we concluded that revenue recognition from certain identified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represents a critical audit matter because of the judgments necessary for management to identify performance obligations, determine the transaction price, allocate transaction price to the performance obligations and recognize revenue when performance obligations are satisfied. Performing audit procedures related to revenue recognition for these contracts required more extensive audit effort and a higher degree of auditor judgment.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related to evaluating the significant estimates and judgments used by management in the determination of the accounting for certain more complex revenue contracts, including the identification of performance obligations, determination of the transaction price, allocation of the transaction price to the performance obligations and recognition of revenue when performance obligations are satisfied, included the following, among others:</w:t>
      </w:r>
    </w:p>
    <w:p>
      <w:pPr>
        <w:spacing w:after="0" w:line="1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revenue contracts identified as having more complex terms, we performed the following:</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underlying contract and any amendments or modifications to determine if all arrangement terms that may have an impact on revenue recognition were identified and independently evaluated management's accounting for the contract.</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underlying goods, services, or both were capable of being distinct and distinct within the context of the contract.</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SSP established by management by obtaining supporting evidence for management's determination of the SSP and tested the allocation of the contract value to performance obligations based on the SSP.</w:t>
      </w:r>
    </w:p>
    <w:p>
      <w:pPr>
        <w:spacing w:after="0" w:line="1"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timing of revenue recognition by evaluating whether revenue should be recognized over time or at a point in time, and whether the revenue was recognized in the appropriate period by examining evidence of delivery or access to support the timing of revenue recognition based on the product or service type.</w:t>
      </w:r>
    </w:p>
    <w:p>
      <w:pPr>
        <w:spacing w:after="0" w:line="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external evidence regarding the delivery of the performance obligation(s) and confirming there are no side agreements.</w:t>
      </w:r>
    </w:p>
    <w:p>
      <w:pPr>
        <w:spacing w:after="0" w:line="221" w:lineRule="exact"/>
        <w:rPr>
          <w:sz w:val="20"/>
          <w:szCs w:val="20"/>
          <w:color w:val="auto"/>
        </w:rPr>
      </w:pPr>
    </w:p>
    <w:p>
      <w:pPr>
        <w:ind w:right="4280"/>
        <w:spacing w:after="0" w:line="3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Goodwill Impairment Analysis – Refer to Notes 2 and 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at least annually, as of October 1, by comparing the fair value of a reporting unit to its carrying value including goodwill. 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fair value of the reporting unit is determined utilizing a discounted cash flow model, and a market value approach is utilized to supplement the discounted cash flow model. The estimated fair value of a reporting unit is determined based on assumptions regarding estimated future cash flows, discount rate, long-term growth rates and market values.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monitors for events and circumstances that could negatively impact the key assumptions in determining fair value, including long-term growth rates, profitability, discount rates, volatility in the Company's market capitalization, general industry, and market and macro-economic conditions.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annual assessment on October 1, 2025, and there was no impairment of goodwill at the assessment date.</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goodwill for the Company as a critical audit matter because of the significant judgments made by management to estimate the fair value of the reporting unit, specifically related to the selection of the discount rate and forecasts of future revenue. Performing audit procedures to evaluate the reasonableness of management's estimates and assumptions related to selection of the discount rate and forecasts of future revenue required a high degree of auditor judgment and an increased extent of effort, including the need to involve our fair value specialists.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audit procedures related to the forecasts of future revenue and the selection of the discount rate for the Company's goodwill impairment included the following, among others:</w:t>
      </w:r>
    </w:p>
    <w:p>
      <w:pPr>
        <w:spacing w:after="0" w:line="1" w:lineRule="exact"/>
        <w:rPr>
          <w:sz w:val="20"/>
          <w:szCs w:val="20"/>
          <w:color w:val="auto"/>
        </w:rPr>
      </w:pPr>
    </w:p>
    <w:p>
      <w:pPr>
        <w:ind w:left="660" w:right="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specialists used by the Company to perform the goodwill valuation analysis had the necessary competence, capabilities, and objectivity.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 by comparing the actual results to management's historical projections.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sensitized management's projections and performed inquiries of management to determine areas of audit focus.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forecasted revenue by comparing the forecasts to:</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revenue growth.</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industry revenue growth rates and revenue growth rates of peer group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forecasts considering the impact of macro-economic conditions.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analyst and industry reports for the Company and certain of its peer group.</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Corroborative inquiries with management regarding the projected revenue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by: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the mathematical accuracy of the calculation.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impact of any potential impairment indicators from the October 1, 2025, annual measurement date, to December 31, 2025.</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29,937</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$496 and $462, respectively ($1,019 and $913 of accounts receivable attributable</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 related parties, respectively)</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0" w:type="dxa"/>
            <w:vAlign w:val="bottom"/>
          </w:tcPr>
          <w:p>
            <w:pPr>
              <w:spacing w:after="0"/>
              <w:rPr>
                <w:sz w:val="1"/>
                <w:szCs w:val="1"/>
                <w:color w:val="auto"/>
              </w:rPr>
            </w:pPr>
          </w:p>
        </w:tc>
      </w:tr>
      <w:tr>
        <w:trPr>
          <w:trHeight w:val="212"/>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407,709</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430,247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Redeemable Preferred Stock and Stockholders' Equity (Deficit)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($1,762 and $2,070 attributable to related parties, respectively)</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($9,664 and $8,588 attributable to related parties,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 ($754 and $714 attributable to related parties,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dividends (related parties)</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advances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0" w:type="dxa"/>
            <w:vAlign w:val="bottom"/>
          </w:tcPr>
          <w:p>
            <w:pPr>
              <w:spacing w:after="0"/>
              <w:rPr>
                <w:sz w:val="1"/>
                <w:szCs w:val="1"/>
                <w:color w:val="auto"/>
              </w:rPr>
            </w:pPr>
          </w:p>
        </w:tc>
      </w:tr>
      <w:tr>
        <w:trPr>
          <w:trHeight w:val="207"/>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131,304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40,718</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accrued data costs ($18,357 and $22,031 attributable to related parties,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payable to preferred stockholders (related parties)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206,548</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231,040</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C convertible redeemable preferred stock, $0.001 par value; 12,670,863 shares authorized, issued and outstanding as of</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December 31, 2025; no shares authorized, issued and outstanding as of December 31, 2024; aggregate liquidation preference of</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$183,728 as of December 31, 2025 and zero as of December 31, 2024 (related parties)</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redeemable preferred stock, $0.001 par value; no shares authorized, issued and outstanding as of</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December 31, 2025; 100,000,000 shares authorized and 95,784,903 shares issued and outstanding as of December 31, 2024;</w:t>
            </w:r>
          </w:p>
        </w:tc>
        <w:tc>
          <w:tcPr>
            <w:tcW w:w="3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207,470</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liquidation preference of zero as of December 31, 2025 and $245,732 as of December 31, 2024 (related parties)</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1,329,137 shares authorized as of December 31, 2025 and 5,000,000 shares authorized as</w:t>
            </w:r>
          </w:p>
        </w:tc>
        <w:tc>
          <w:tcPr>
            <w:tcW w:w="3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 December 31, 2024; no shares issued or outstanding as of December 31, 2025 or 2024</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Common stock, 0.001 par value; 46,000,000 shares authorized as of December 31, 2025 and 13,750,000 shares authorized</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as of December 31, 2024; 15,214,378 shares issued and 14,876,139 shares outstanding as of December 31, 2025, and</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5,228,814 shares issued and 4,890,575 shares outstanding as of December 31, 2024</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1,781,265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1,714,052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(1,429,995)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(1,474,268)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Treasury stock, at cost, 338,239 shares as of December 31, 2025 and 2024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(229,984)</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111,439</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convertible redeemable preferred stock and stockholders' equity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407,709</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430,247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 (2)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205,580</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1"/>
                <w:szCs w:val="21"/>
                <w:color w:val="auto"/>
                <w:vertAlign w:val="superscript"/>
              </w:rPr>
              <w:t>(2)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(2)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33,701</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(2)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0" w:type="dxa"/>
            <w:vAlign w:val="bottom"/>
          </w:tcPr>
          <w:p>
            <w:pPr>
              <w:spacing w:after="0"/>
              <w:rPr>
                <w:sz w:val="1"/>
                <w:szCs w:val="1"/>
                <w:color w:val="auto"/>
              </w:rPr>
            </w:pP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 from operations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415,556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444,944</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from foreign currency transactions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Convertible redeemable preferred stock dividends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Preferred stockholders' deemed contribution </w:t>
            </w:r>
            <w:r>
              <w:rPr>
                <w:rFonts w:ascii="Times New Roman" w:cs="Times New Roman" w:eastAsia="Times New Roman" w:hAnsi="Times New Roman"/>
                <w:sz w:val="21"/>
                <w:szCs w:val="21"/>
                <w:color w:val="auto"/>
                <w:vertAlign w:val="superscript"/>
              </w:rPr>
              <w:t>(1) (4)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income (loss) available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per share calculation - Common stock:</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5,307,608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cumulative translation adjustment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with related parties are included in the line items above as follows (refer to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further information):</w:t>
      </w:r>
    </w:p>
    <w:p>
      <w:pPr>
        <w:spacing w:after="0" w:line="26" w:lineRule="exact"/>
        <w:rPr>
          <w:rFonts w:ascii="Times New Roman" w:cs="Times New Roman" w:eastAsia="Times New Roman" w:hAnsi="Times New Roman"/>
          <w:sz w:val="21"/>
          <w:szCs w:val="21"/>
          <w:color w:val="auto"/>
          <w:vertAlign w:val="superscript"/>
        </w:rPr>
      </w:pPr>
    </w:p>
    <w:p>
      <w:pPr>
        <w:ind w:left="82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b w:val="1"/>
          <w:bCs w:val="1"/>
          <w:color w:val="auto"/>
        </w:rPr>
        <w:t>Years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29,265</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redeemable preferred stock dividends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stockholders' deemed contribution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2"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amortization of intangible assets, which is presented separately in the Consolidated Statements of Operations and Comprehensive Loss.</w:t>
      </w:r>
    </w:p>
    <w:p>
      <w:pPr>
        <w:ind w:left="180" w:hanging="172"/>
        <w:spacing w:after="0" w:line="191" w:lineRule="auto"/>
        <w:tabs>
          <w:tab w:leader="none" w:pos="18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Stock-based compensation expense is included in the line items above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93"/>
        </w:trPr>
        <w:tc>
          <w:tcPr>
            <w:tcW w:w="6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firstLine="8"/>
        <w:spacing w:after="0" w:line="257" w:lineRule="auto"/>
        <w:tabs>
          <w:tab w:leader="none" w:pos="166"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This amount represents the deemed contribution recognized as part of the Recapitalization Transaction. Refer to </w:t>
      </w:r>
      <w:r>
        <w:rPr>
          <w:rFonts w:ascii="Times New Roman" w:cs="Times New Roman" w:eastAsia="Times New Roman" w:hAnsi="Times New Roman"/>
          <w:sz w:val="15"/>
          <w:szCs w:val="15"/>
          <w:u w:val="single" w:color="auto"/>
          <w:color w:val="0000FF"/>
        </w:rPr>
        <w:t>Footnote 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Convertible Redeemable Preferred Stock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Stockholders' Equity (Deficit), </w:t>
      </w:r>
      <w:r>
        <w:rPr>
          <w:rFonts w:ascii="Times New Roman" w:cs="Times New Roman" w:eastAsia="Times New Roman" w:hAnsi="Times New Roman"/>
          <w:sz w:val="15"/>
          <w:szCs w:val="15"/>
          <w:color w:val="auto"/>
        </w:rPr>
        <w:t>for further information</w:t>
      </w:r>
      <w:r>
        <w:rPr>
          <w:rFonts w:ascii="Times New Roman" w:cs="Times New Roman" w:eastAsia="Times New Roman" w:hAnsi="Times New Roman"/>
          <w:sz w:val="15"/>
          <w:szCs w:val="15"/>
          <w:i w:val="1"/>
          <w:iCs w:val="1"/>
          <w:color w:val="auto"/>
        </w:rPr>
        <w: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CONVERTIBLE REDEEMABLE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c>
          <w:tcPr>
            <w:tcW w:w="164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Series C Preferred</w:t>
            </w:r>
          </w:p>
        </w:tc>
        <w:tc>
          <w:tcPr>
            <w:tcW w:w="60" w:type="dxa"/>
            <w:vAlign w:val="bottom"/>
          </w:tcPr>
          <w:p>
            <w:pPr>
              <w:spacing w:after="0"/>
              <w:rPr>
                <w:sz w:val="13"/>
                <w:szCs w:val="13"/>
                <w:color w:val="auto"/>
              </w:rPr>
            </w:pP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(2)</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15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00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5"/>
                <w:szCs w:val="5"/>
                <w:color w:val="auto"/>
              </w:rPr>
            </w:pPr>
          </w:p>
        </w:tc>
        <w:tc>
          <w:tcPr>
            <w:tcW w:w="880" w:type="dxa"/>
            <w:vAlign w:val="bottom"/>
            <w:gridSpan w:val="2"/>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5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7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960" w:type="dxa"/>
            <w:vAlign w:val="bottom"/>
            <w:tcBorders>
              <w:bottom w:val="single" w:sz="8" w:color="auto"/>
            </w:tcBorders>
            <w:gridSpan w:val="2"/>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right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Capital </w:t>
            </w:r>
            <w:r>
              <w:rPr>
                <w:rFonts w:ascii="Times New Roman" w:cs="Times New Roman" w:eastAsia="Times New Roman" w:hAnsi="Times New Roman"/>
                <w:sz w:val="9"/>
                <w:szCs w:val="9"/>
                <w:b w:val="1"/>
                <w:bCs w:val="1"/>
                <w:color w:val="auto"/>
              </w:rPr>
              <w:t>(2)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7"/>
        </w:trPr>
        <w:tc>
          <w:tcPr>
            <w:tcW w:w="1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82,527,609</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$ 187,885</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4,605,247</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$1,690,870</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$(1,300,789)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 convertible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preferred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dividends </w:t>
            </w:r>
            <w:r>
              <w:rPr>
                <w:rFonts w:ascii="Times New Roman" w:cs="Times New Roman" w:eastAsia="Times New Roman" w:hAnsi="Times New Roman"/>
                <w:sz w:val="21"/>
                <w:szCs w:val="21"/>
                <w:color w:val="auto"/>
                <w:vertAlign w:val="superscript"/>
              </w:rPr>
              <w:t>(1)</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common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net</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units</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152,375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Payments for taxes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related to net share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 equity</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Amortization of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7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82,527,609</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$ 187,885</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4,755,141</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$1,696,612</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(14,110)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$(1,396,420)</w:t>
            </w: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56,103</w:t>
            </w:r>
          </w:p>
        </w:tc>
        <w:tc>
          <w:tcPr>
            <w:tcW w:w="0" w:type="dxa"/>
            <w:vAlign w:val="bottom"/>
          </w:tcPr>
          <w:p>
            <w:pPr>
              <w:spacing w:after="0"/>
              <w:rPr>
                <w:sz w:val="1"/>
                <w:szCs w:val="1"/>
                <w:color w:val="auto"/>
              </w:rPr>
            </w:pP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preferred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net of issuance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13,257,294</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13,017</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costs </w:t>
            </w:r>
            <w:r>
              <w:rPr>
                <w:rFonts w:ascii="Times New Roman" w:cs="Times New Roman" w:eastAsia="Times New Roman" w:hAnsi="Times New Roman"/>
                <w:sz w:val="21"/>
                <w:szCs w:val="21"/>
                <w:color w:val="auto"/>
                <w:vertAlign w:val="superscript"/>
              </w:rPr>
              <w:t>(1)</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preferred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dividends </w:t>
            </w:r>
            <w:r>
              <w:rPr>
                <w:rFonts w:ascii="Times New Roman" w:cs="Times New Roman" w:eastAsia="Times New Roman" w:hAnsi="Times New Roman"/>
                <w:sz w:val="21"/>
                <w:szCs w:val="21"/>
                <w:color w:val="auto"/>
                <w:vertAlign w:val="superscript"/>
              </w:rPr>
              <w:t>(1)</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common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net</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units</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140,901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Payments for taxes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related to net share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 equity</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Amortization of stock-</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15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95,784,903</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$ 207,470</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4,890,575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$1,714,052</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$(1,474,268)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$(229,984)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Series B convertible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preferred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dividends </w:t>
            </w:r>
            <w:r>
              <w:rPr>
                <w:rFonts w:ascii="Times New Roman" w:cs="Times New Roman" w:eastAsia="Times New Roman" w:hAnsi="Times New Roman"/>
                <w:sz w:val="21"/>
                <w:szCs w:val="21"/>
                <w:color w:val="auto"/>
                <w:vertAlign w:val="superscript"/>
              </w:rPr>
              <w:t>(1)</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Recapitalization</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transaction, net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(95,784,903)</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(207,470)</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12,670,863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89,722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9,860,475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65,513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73,044</w:t>
            </w:r>
          </w:p>
        </w:tc>
        <w:tc>
          <w:tcPr>
            <w:tcW w:w="8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138,567</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costs </w:t>
            </w:r>
            <w:r>
              <w:rPr>
                <w:rFonts w:ascii="Times New Roman" w:cs="Times New Roman" w:eastAsia="Times New Roman" w:hAnsi="Times New Roman"/>
                <w:sz w:val="21"/>
                <w:szCs w:val="21"/>
                <w:color w:val="auto"/>
                <w:vertAlign w:val="superscript"/>
              </w:rPr>
              <w:t>(1)</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units</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126,181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Payments for taxes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related to net share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 equity</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Settlement of</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Amortization of stock-</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right w:val="single" w:sz="8" w:color="auto"/>
            </w:tcBorders>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7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12,670,863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89,722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14,876,139</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1,781,265</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(1,429,995)</w:t>
            </w: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(229,984)</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111,439</w:t>
            </w:r>
          </w:p>
        </w:tc>
        <w:tc>
          <w:tcPr>
            <w:tcW w:w="0" w:type="dxa"/>
            <w:vAlign w:val="bottom"/>
          </w:tcPr>
          <w:p>
            <w:pPr>
              <w:spacing w:after="0"/>
              <w:rPr>
                <w:sz w:val="1"/>
                <w:szCs w:val="1"/>
                <w:color w:val="auto"/>
              </w:rPr>
            </w:pP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8"/>
        <w:spacing w:after="0" w:line="224" w:lineRule="auto"/>
        <w:tabs>
          <w:tab w:leader="none" w:pos="173"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for these line items were exclusively with related parties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Convertible Redeemable Preferred Stock and Stockholders' Equity (Deficit),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of the Notes to Consolidated Financial Statements for additional information).</w:t>
      </w:r>
    </w:p>
    <w:p>
      <w:pPr>
        <w:ind w:left="160" w:hanging="152"/>
        <w:spacing w:after="0" w:line="211" w:lineRule="auto"/>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Adjusted retroactively for the Reverse Stock Split, refer to </w:t>
      </w:r>
      <w:r>
        <w:rPr>
          <w:rFonts w:ascii="Times New Roman" w:cs="Times New Roman" w:eastAsia="Times New Roman" w:hAnsi="Times New Roman"/>
          <w:sz w:val="15"/>
          <w:szCs w:val="15"/>
          <w:u w:val="single" w:color="auto"/>
          <w:color w:val="0000FF"/>
        </w:rPr>
        <w:t>Footnote 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121" w:right="3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expense of 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right-of-use and long-lived assets</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r>
        <w:trPr>
          <w:trHeight w:val="213"/>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0" w:type="dxa"/>
            <w:vAlign w:val="bottom"/>
          </w:tcPr>
          <w:p>
            <w:pPr>
              <w:spacing w:after="0"/>
              <w:rPr>
                <w:sz w:val="1"/>
                <w:szCs w:val="1"/>
                <w:color w:val="auto"/>
              </w:rPr>
            </w:pPr>
          </w:p>
        </w:tc>
      </w:tr>
      <w:tr>
        <w:trPr>
          <w:trHeight w:val="213"/>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Contract liabilities and 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insurance financing</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secured term loan</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line of credit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of term loan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financing and debt issuance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 at initial value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preferred stock and common stock issuance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insurance financing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0" w:type="dxa"/>
            <w:vAlign w:val="bottom"/>
          </w:tcPr>
          <w:p>
            <w:pPr>
              <w:spacing w:after="0"/>
              <w:rPr>
                <w:sz w:val="1"/>
                <w:szCs w:val="1"/>
                <w:color w:val="auto"/>
              </w:rPr>
            </w:pP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0" w:type="dxa"/>
            <w:vAlign w:val="bottom"/>
          </w:tcPr>
          <w:p>
            <w:pPr>
              <w:spacing w:after="0"/>
              <w:rPr>
                <w:sz w:val="1"/>
                <w:szCs w:val="1"/>
                <w:color w:val="auto"/>
              </w:rPr>
            </w:pP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activities</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2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Issuance of Series C convertible redeemable preferred stock and common stock in connection with</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230,742</w:t>
            </w:r>
          </w:p>
        </w:tc>
        <w:tc>
          <w:tcPr>
            <w:tcW w:w="4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Recapitalization Transaction </w:t>
            </w:r>
            <w:r>
              <w:rPr>
                <w:rFonts w:ascii="Times New Roman" w:cs="Times New Roman" w:eastAsia="Times New Roman" w:hAnsi="Times New Roman"/>
                <w:sz w:val="21"/>
                <w:szCs w:val="21"/>
                <w:color w:val="auto"/>
                <w:vertAlign w:val="superscript"/>
              </w:rPr>
              <w:t>(1) (2)</w:t>
            </w:r>
          </w:p>
        </w:tc>
        <w:tc>
          <w:tcPr>
            <w:tcW w:w="3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Present value of fixed payable recognized in connection with Recapitalization Transaction </w:t>
            </w:r>
            <w:r>
              <w:rPr>
                <w:rFonts w:ascii="Times New Roman" w:cs="Times New Roman" w:eastAsia="Times New Roman" w:hAnsi="Times New Roman"/>
                <w:sz w:val="21"/>
                <w:szCs w:val="21"/>
                <w:color w:val="auto"/>
                <w:vertAlign w:val="superscript"/>
              </w:rPr>
              <w:t>(1) (2)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preferred stock and common stock issuance costs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accounts payable and accrued expenses related to capital expenditures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finance lease liabilities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Settlement of restricted stock unit liability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0" w:type="dxa"/>
            <w:vAlign w:val="bottom"/>
          </w:tcPr>
          <w:p>
            <w:pPr>
              <w:spacing w:after="0"/>
              <w:rPr>
                <w:sz w:val="1"/>
                <w:szCs w:val="1"/>
                <w:color w:val="auto"/>
              </w:rPr>
            </w:pPr>
          </w:p>
        </w:tc>
      </w:tr>
      <w:tr>
        <w:trPr>
          <w:trHeight w:val="213"/>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Modification of operating right-of-use assets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6"/>
                <w:szCs w:val="16"/>
                <w:color w:val="auto"/>
              </w:rPr>
              <w:t xml:space="preserve">Series B convertible redeemable preferred stock dividends accrued but not yet paid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16"/>
        </w:trPr>
        <w:tc>
          <w:tcPr>
            <w:tcW w:w="682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Issuance of Series B convertible redeemable preferred stock </w:t>
            </w:r>
            <w:r>
              <w:rPr>
                <w:rFonts w:ascii="Times New Roman" w:cs="Times New Roman" w:eastAsia="Times New Roman" w:hAnsi="Times New Roman"/>
                <w:sz w:val="21"/>
                <w:szCs w:val="21"/>
                <w:color w:val="auto"/>
                <w:vertAlign w:val="superscript"/>
              </w:rPr>
              <w:t>(1) (3)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debt issuance costs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firstLine="8"/>
        <w:spacing w:after="0" w:line="226" w:lineRule="auto"/>
        <w:tabs>
          <w:tab w:leader="none" w:pos="173"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Transactions for these line items were exclusively with related parties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Convertible Redeemable Preferred Stock and Stockholders' Equity (Deficit),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Footnote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of the Notes to Consolidated Financial Statements for additional information).</w:t>
      </w:r>
    </w:p>
    <w:p>
      <w:pPr>
        <w:jc w:val="both"/>
        <w:ind w:firstLine="8"/>
        <w:spacing w:after="0" w:line="243" w:lineRule="auto"/>
        <w:tabs>
          <w:tab w:leader="none" w:pos="177"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 connection with the Recapitalization Transaction (as defined within the Notes to Consolidated Financial Statements), the Series C convertible redeemable preferred stock and common stock were initially recognized at fair value. The Company recorded the initial fair value of the Series C convertible redeemable preferred stock, net of issuance costs, of $89.7 million within mezzanine equity on the Consolidated Balance Sheet. The Company recorded the initial fair value of the common stock, net of issuance costs, of $65.5 million with the associated par value of $9.9 thousand within common stock and the remaining amount within additional paid-in capital on the Consolidated Balance Sheet. The Company recorded the present value of the total future fixed payment of $6.0 million to be paid on June 30, 2028 within non-current liabilities on the Consolidated Balance Sheet. The remaining $73.0 million was recorded in retained earnings on the Consolidated Balance Sheet.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Convertible Redeemable Preferred Stock and Stockholders' Equity (Deficit), </w:t>
      </w:r>
      <w:r>
        <w:rPr>
          <w:rFonts w:ascii="Times New Roman" w:cs="Times New Roman" w:eastAsia="Times New Roman" w:hAnsi="Times New Roman"/>
          <w:sz w:val="16"/>
          <w:szCs w:val="16"/>
          <w:color w:val="auto"/>
        </w:rPr>
        <w:t>of the Notes to Consolidated Financial Statements.</w:t>
      </w:r>
    </w:p>
    <w:p>
      <w:pPr>
        <w:spacing w:after="0" w:line="1" w:lineRule="exact"/>
        <w:rPr>
          <w:rFonts w:ascii="Times New Roman" w:cs="Times New Roman" w:eastAsia="Times New Roman" w:hAnsi="Times New Roman"/>
          <w:sz w:val="21"/>
          <w:szCs w:val="21"/>
          <w:color w:val="auto"/>
          <w:vertAlign w:val="superscript"/>
        </w:rPr>
      </w:pPr>
    </w:p>
    <w:p>
      <w:pPr>
        <w:jc w:val="both"/>
        <w:ind w:firstLine="8"/>
        <w:spacing w:after="0" w:line="228" w:lineRule="auto"/>
        <w:tabs>
          <w:tab w:leader="none" w:pos="175"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Series B convertible redeemable preferred stock issued in 2024 was initially recognized at fair value. The Company recorded the initial fair value, net of issuance costs, of $19.6 million within mezzanine equity and the remaining $13.0 million within additional paid-in capital on the Consolidated Balance Sheet. Refer to </w:t>
      </w:r>
      <w:r>
        <w:rPr>
          <w:rFonts w:ascii="Times New Roman" w:cs="Times New Roman" w:eastAsia="Times New Roman" w:hAnsi="Times New Roman"/>
          <w:sz w:val="16"/>
          <w:szCs w:val="16"/>
          <w:u w:val="single" w:color="auto"/>
          <w:color w:val="0000FF"/>
        </w:rPr>
        <w:t>Footnote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Convertible Redeemable Preferred Stock and Stockholders' Equity (Deficit), </w:t>
      </w:r>
      <w:r>
        <w:rPr>
          <w:rFonts w:ascii="Times New Roman" w:cs="Times New Roman" w:eastAsia="Times New Roman" w:hAnsi="Times New Roman"/>
          <w:sz w:val="16"/>
          <w:szCs w:val="16"/>
          <w:color w:val="auto"/>
        </w:rPr>
        <w:t>of the Notes to Consolidated Financial Statements.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comScore, Inc., together with its consolidated subsidiaries (collectively, "Comscore" or the "Company"), headquartered in Reston, Virginia, is a global information and analytics company that measures advertising, content, and the consumer audiences of each, across media platforms.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 Transaction with Preferred Stockholders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26, 2025, the Company entered into separate Stock Exchange Agreements (the "Exchange Agreements") with each of Charter Communications Holding Company, LLC ("Charter"), Liberty Broadband Corporation ("Liberty"), and Pine Investor, LLC ("Pine," and together with Charter and Liberty, the "Preferred Stockholders"), pursuant to which, at the closing of the transactions contemplated thereby (the "Closing"), each Preferred Stockholder would exchange the 31,928,301 shares of Series B Convertible Preferred Stock, par value $0.001 per share, of the Company (the "Series B Preferred Stock") then owned by such Preferred Stockholder for (i) 4,223,621 shares of a new series of convertible preferred stock designated as Series C Convertible Preferred Stock, par value $0.001 per share (the "Preferred Stock"), which would be convertible into shares of common stock, par value $0.001 per share, of the Company ("Common Stock") and (ii) 3,286,825 shares of Common Stock (the "Exchange Common Stock" and such transactions, collectively, the "Exchange" or the "Recapitalization Transaction"). Additionally, provided that the Closing occurred, the Company agreed to make a fixed cash payment of $2.0 million to each of the Preferred Stockholders on June 30, 2028, regardless of whether the Preferred Stockholders continued to own any securities of the Company on such date. The Recapitalization Transaction and related matters were approved by the Company's stockholders on December 19, 2025 and subsequently closed on December 29, 2025 (the "Closing Date").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retired the shares of Series B Preferred Stock acquired by the Company pursuant to the Recapitalization Transaction and eliminated from its Amended and Restated Certificate of Incorporation all matters set forth in the Certificate of Designations of the Series B Preferred Stock, including the annual dividend rights provided therein. For additional information on the Recapitalization Transaction,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 and Stockholders' Equity (Deficit).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26, 2025, in connection with the execution of the Exchange Agreements, the Company entered into an amendment (the "Amendment") to its senior secured financing agreement, dated December 31, 2024, among the Company as borrower, each subsidiary of the Company from time to time party thereto as a guarantor, each lender from time to time party thereto, and Blue Torch Finance LLC, as administrative agent and collateral agent (the "Credit Agreement") to permit the Exchange and the issuance of Preferred Stock in connection with the Exchange. The Amendment became effective on the Closing Date. For additional information on the Credit Agreement, refer to </w:t>
      </w:r>
      <w:r>
        <w:rPr>
          <w:rFonts w:ascii="Times New Roman" w:cs="Times New Roman" w:eastAsia="Times New Roman" w:hAnsi="Times New Roman"/>
          <w:sz w:val="18"/>
          <w:szCs w:val="18"/>
          <w:u w:val="single" w:color="auto"/>
          <w:color w:val="0000FF"/>
        </w:rPr>
        <w:t>Footnote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domestic and foreign subsidiaries. All intercompany transactions and balances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12, 2023, the Company held a special meeting of stockholders of the Company (the "Special Meeting"). At the Special Meeting, the stockholders approved an amendment to the Company's Amended and Restated Certificate of Incorporation (the "2023 Certificate of Amendment") for the purpose of effecting a reverse stock split (the "Reverse Stock Split") of all outstanding shares of Common Stock and reducing the number of authorized shares of Common Stock by the same ratio as the Reverse Stock Split. Following the Special Meeting, the Board of Directors approved a final ratio of 1-for-20 for the Reverse Stock Split with an effective date of December 20, 2023.</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2023, the Company filed the 2023 Certificate of Amendment with the Secretary of State of the State of Delaware to implement the Reverse Stock Split, without any change to the par value of the Common Stock. The 2023 Certificate of Amendment reduced the number of authorized shares of Common Stock from 275,000,000 to 13,750,000 and the total number of shares of stock authorized for issuance from 380,000,000 to 118,750,000. The Company implemented the Reverse Stock Split on December 20, 2023.</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a split-adjusted basis on the Nasdaq Global Select Market on December 20, 2023, under the existing trading symbol "SCOR", but the security was assigned a new CUSIP number (20564W204).</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every 20 shares of Common Stock issued and outstanding or held in treasury immediately prior to the Reverse Stock Split were converted into one share of Common Stock after the Reverse Stock Split. The Reverse Stock Split applied uniformly to all holders of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down to the nearest whole share. Stockholders who would otherwise have been entitled to a fractional share of Common Stock were instead entitled to receive a proportional cash payment.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noted, all shares of Common Stock, including Common Stock underlying warrants, stock options, and restricted stock units, as well as all conversion ratios, exercise prices, conversion prices and per share information in the Consolidated Financial Statements have been retroactively adjusted to reflect the 1-for-20 Reverse Stock Split, as if the split occurred at the beginning of the earliest period presented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 financial statements have been reclassified to conform to the current year presentation. Specifically, the change in the fair value of warrants liability has been aggregated within other operating activities on the Consolidated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 in the Preparation of the Consolidated Financial Statements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U.S. requires management to make estimates and assumptions that affect the reported amounts of assets and liabilities and the reported amounts of revenue and expense during the reporting periods. Significant estimates and judgments are inherent in the analysis and the measurement of management's Standalone Selling Price ("SSP"), principal versus agent revenue recognition, determination of performance obligations, determination of transaction price, including the determination of variable consideration and allocation of transaction price to performance obligations, deferred tax assets and liabilities, including the identification and quantification of income tax liabilities due to uncertain tax positions, the valuation and recoverability of goodwill, intangible and other long-lived assets, the determination of appropriate discount rates for lease accounting, the probability of exercising either lease renewal or termination clauses, the assessment of potential loss from contingencies, financing-related liabilities and warrants, the initial fair value determination of the Preferred Stock and Series B Preferred Stock, and the valuation of options, performance-based and market-based stock awards. Management bases its estimates and assumptions on historical experience and on various other factors that are believed to be reasonable under the circumstances.</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estimates, actual results reported in future periods may be affected by changes in those estimates. The Company evaluates its estimates and assumptions on an ongoing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fair value of certain assets and liabilities using the fair value hierarchy.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applies the three-tier GAAP value hierarchy which prioritizes the inputs used in measuring fair value as follows: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of which there is little or no market data, which require the Company to develop its own assumptions.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include property and equipment, operating right-of-use assets, intangible assets and goodwill. The Company measures these items at fair value when they are considered to be impaired or, in certain cases, upon initial recognition. The fair value of these assets are determined with valuation techniques using the best information available and may include market comparable information, discounted cash flow models, or a combination thereof.</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expenses, and the current portion of contract liabilities and customer advances reported in the Consolidated Balance Sheets approximate fair value due to the short-term nature of these instruments. The carrying amount of the Company's prior revolving line of credit approximated fair value due to the variable rate nature of the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(Series B and Series C)</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2021, the Company entered into separate Securities Purchase Agreements with each of Charter, Qurate Retail, Inc. (together with its affiliate Qurate SCOR, LLC, "Qurate") and Pine (the "Securities Purchase Agreements") for the issuance and sale of shares of Series B Preferred Stock as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 The issuance of the Series B Preferred Stock pursuant to the Securities Purchase Agreements (the "2021 Preferred Stock Transactions") and related matters were approved by the Company's stockholders on March 9, 2021 and completed on March 10,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2023, Qurate sold 27,509,203 shares of Series B Preferred Stock to Liberty in a privately negotiated transaction.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2024, the Company issued 13,257,294 additional shares of Series B Preferred Stock to the existing holders of Series B Preferred Stock in exchange for cancellation of the Company's obligation to pay accrued dividends totaling $32.8 million to such holders for annual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periods ended in 2023 and 2024. The additional shares of Series B Preferred Stock had the same terms and conditions as the Series B Preferred Stock previously issued by the Company. In connection with the issuance of the additional shares of Series B Preferred Stock, the Company and the Preferred Stockholders also entered into an amendment to the Stockholders Agreement between the parties. Among other things, the amendment reduced the $100.0 million special dividend threshold set forth in the Stockholders Agreement by an amount equal to the liquidation preference of the additional Series B Preferred Stock ($32.8 million). After further reducing the threshold by annual dividends paid in prior years, the special dividend threshold was $47.0 million.</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26, 2025, the Company entered into the Exchange Agreements with the Preferred Stockholders, pursuant to which, at the closing of the Recapitalization Transaction, each holder would exchange 31,928,301 shares of Series B Preferred Stock for (i) 4,223,621 shares of Series C Preferred Stock (referred to as "Preferred Stock" below) and (ii) 3,286,825 shares of Exchange Common Stock. The Company's stockholders approved the Recapitalization Transaction and related matters on December 19, 2025, and the Recapitalization Transaction subsequently closed on December 29, 2025. The Recapitalization Transaction resulted in the exchange and retirement of all shares of Series B Preferred Stock in return for the issuance of Preferred Stock, Exchange Common Stock, and a future fixed cash payment. Additionally, the Recapitalization Transaction eliminated the Preferred Stockholders' annual and special dividend rights and reduced their director designation rights, among other things.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 The instrument was initially recognized at fair value net of issuance costs. The Company reassesses whether the Preferred Stock is currently redeemable, or probable to become redeemable in the future, as of each reporting date. If the instrument meets either of these criteria, the Company will accrete the carrying value to the redemption value. The Preferred Stock has not been adjusted to its redemption amount as of December 31, 2025 because a deemed liquidation event is not considered probable.</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financial instruments that are classified as mezzanine equity are evaluated for embedded derivative features by evaluating each feature against the nature of the host instrument (for example, more equity-like or debt-like). Features identified as embedded derivatives that are material are recognized separately as a derivative asset or liability in the financial statements. No embedded features were identified requiring bifurcation for the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are maintained with several financial institutions domestically and internationally. The combined account balances held on deposit at each institution typically exceed Federal Deposit Insurance Corporation ("FDIC") insurance coverage and, as a result, there is a concentration of credit risk related to amounts on deposit in excess of FDIC insurance coverage. The Company reduces this risk by maintaining such deposits with high quality financial institutions that management believes are creditworthy, and by monitoring this credit risk and making adjustments as necessary.</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an original maturity of three months or less at the time of purchase and qualifying money-market funds as cash equivalents.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represents security deposits for subleased office space and cash collateral for outstanding letters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grants uncollateralized credit terms to its customers. Credit risk associated with accounts receivable is mitigated by the Company's ongoing credit evaluation of its customers' financial condition. An allowance for doubtful accounts is maintained to reserve for uncollectible receivables. Allowances are based on management's judgment, which considers historical collection experience adjusted for current conditions or expected future conditions based on reasonable and supportable forecasts, a specific review of all significant outstanding receivables, an assessment of company-specific credit conditions and general economic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within the allowance for doubtful accounts: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tcPr>
          <w:p>
            <w:pPr>
              <w:spacing w:after="0"/>
              <w:rPr>
                <w:sz w:val="18"/>
                <w:szCs w:val="18"/>
                <w:color w:val="auto"/>
              </w:rPr>
            </w:pPr>
          </w:p>
        </w:tc>
        <w:tc>
          <w:tcPr>
            <w:tcW w:w="1080" w:type="dxa"/>
            <w:vAlign w:val="bottom"/>
          </w:tcPr>
          <w:p>
            <w:pPr>
              <w:jc w:val="center"/>
              <w:ind w:left="602"/>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Write-offs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16"/>
                <w:szCs w:val="16"/>
                <w:color w:val="auto"/>
                <w:w w:val="99"/>
              </w:rPr>
              <w:t>258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is recorded at cost, net of accumulated depreciation, and is depreciated on a straight-line basis over the estimated useful lives of the assets, ranging from 3 to 10 years. Finance lease assets are recorded at their net present value at the commencement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Both finance lease assets and leasehold improvements are amortized on a straight-line basis over the shorter of the related lease terms or their useful lives. Replacements and major improvements are capitalized; maintenance and repairs are expensed as incurred.</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in property and equipment, net, are capitalized software costs to purchase and develop internal-use software, which the Company uses to provide services to its clients. The costs to purchase and develop internal-use software are capitalized from the time that the preliminary project stage is completed, and it is considered probable that the software will be used to perform the function intended, until the time the software is placed in service for its intended use. Any costs incurred during subsequent efforts to upgrade and enhance the functionality of the software are also capitalized. Once this software is ready for use in the Company's products, these costs are amortized on a straight-line basis over the estimated useful life of the software, which is typically assessed to be 3 years. During the years ended December 31, 2025, 2024 and 2023, the Company capitalized $22.6 million, $22.8 million, and $22.4 million in internal-use software costs, respectively. The Company amortized $22.3 million, $20.4 million and $18.1 million in capitalized internal-use software costs during the years ended December 31,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and two newly formed, wholly owned subsidiaries of the Company entered into an Agreement and Plan of Merger (the "Merger Agreement" or "Merger") with Shareablee, Inc. ("Shareablee"), to acquire Shareablee in exchange for shares of the Company's Common Stock and contingent consideration payable subject to the achievement of certain conditions set forth in the Merger Agreement. Total consideration paid or payable by the Company related to the Merger (valued as of the closing date of the Merger) was $31.4 million, which included $5.6 million for the fair value of contingent consideration payable based on the achievement of certain contractual milestones or future revenue performance. The maximum amount of contingent consideration payable under the Merger was $8.6 million.</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2022, the contingency was resolved and the full amount was deemed payable, subject to reduction for any pending indemnification claims and other terms set forth in the Merger Agreement. The resolution of this contingency eliminated the option pricing model as a valuation technique, and the fair value was remeasured using only the discounted cash flow model. The Company settled all installments of contingent consideration in cash, which consisted of payments of $1.2 million, $3.7 million, and $3.7 million during the years ended December 31, 2025, 2024, and 2023, respectively. Refer to </w:t>
      </w:r>
      <w:r>
        <w:rPr>
          <w:rFonts w:ascii="Times New Roman" w:cs="Times New Roman" w:eastAsia="Times New Roman" w:hAnsi="Times New Roman"/>
          <w:sz w:val="18"/>
          <w:szCs w:val="18"/>
          <w:u w:val="single" w:color="auto"/>
          <w:color w:val="0000FF"/>
        </w:rPr>
        <w:t>Footnote 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Fair Value Measurements,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on the fair value of the contingent consideration.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Implementation Costs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costs incurred for implementation, setup, and other upfront activities in a hosting arrangement that is a service contract are capitalized during the application development stage. Upgrades and enhancements are capitalized if they will result in additional functionality. Amortization of capitalized costs is recorded on a straight-line basis over the term of the associated hosting arrangement, inclusive of reasonably certain renewal periods. As of December 31, 2025 and 2024, capitalized implementation costs, net of accumulated amortization, were $0.9 million and $2.2 million, respectively.</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expected period of benefit of the capitalized implementation costs was five years. Amortization costs are classified within general and administrative expense in the Consolidated Statements of Operations and Comprehensive Loss. The Company recorded $1.4 million of amortization expense for each of the years ended December 31, 2025,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identifiable assets acquired and liabilities assumed when a business is acquired. The valuation of intangible assets and goodwill involves the use of management's estimates and assumptions and can have a significant impact on future operating results. The Company initially records its intangible assets at fair value. Definite-lived intangible assets are amortized over their estimated useful lives while goodwill is not amortized but is evaluated for impairment at least annually, as of October 1, by comparing the fair value of a reporting unit to its carrying value including goodwill recorded by the reporting unit.</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Company has the option to first perform qualitative testing to determine whether it is more likely than not that the fair value of the reporting unit is less than its carrying value. The qualitative evaluation is an assessment of factors, including operating results and cost factors, as well as industry, market and macroeconomic conditions, to determine whether it is more likely than not that the fair value of the reporting unit is less than the carrying amount, including goodwill. If the Company chooses not to complete a qualitative assessment or if the initial assessment indicates that it is more likely than not that the carrying value of the reporting unit exceeds its estimated fair value, additional quantitative testing is required.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reporting unit is determined utilizing a discounted cash flow model, and a market value approach is utilized to supplement the discounted cash flow model. The estimated fair value of a reporting unit is determined based on assumptions regarding estimated future cash flows, discount rates, long-term growth rates and market values. Additionally, the Company considers income tax effects from any tax-deductible goodwill on the carrying amount of the reporting unit when measuring the goodwill impairment charge.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monitors for events and circumstances that could negatively impact the key assumptions in determining fair value, including long-term revenue growth projections, profitability, discount rates, volatility in the Company's market capitalization, general industry, and market and macroeconomic conditions. It is possible that future changes in such circumstances, or in the variables associated with the judgments, assumptions and estimates used in assessing the fair value of the reporting unit, would require the Company to record a material non-cash impairment charge.</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its annual assessment on October 1, 2025. No impairment charge related to goodwill was incurred during the year ended December 31, 2025.</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2024, the Company performed a quantitative goodwill impairment test using a discounted cash flow model, supported by a market approach. The Company's reporting unit did not pass the goodwill impairment test, and as a result, the Company recorded a $63.0 million non-cash impairment charge during the three months ended September 30, 2024. No additional impairment indicators were identified during the fourth quarter of 2024.</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part of the annual test as of October 1, 2023, the Company performed a quantitative goodwill impairment test using a discounted cash flow model, supported by a market approach. The Company's reporting unit did not pass the goodwill impairment test, and as a result, the Company recorded a $34.1 million non-cash impairment charge during the three months ended December 31, 2023.</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Company performed a quantitative goodwill impairment test using a discounted cash flow model, supported by a market approach. The Company's reporting unit did not pass the goodwill impairment test, and as a result, the Company recorded a $44.1 million non-cash impairment charge during the three months ended June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finite lives are generally amortized using the straight-line method over the following useful lives: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20" w:type="dxa"/>
            <w:vAlign w:val="bottom"/>
          </w:tcPr>
          <w:p>
            <w:pPr>
              <w:spacing w:after="0"/>
              <w:rPr>
                <w:sz w:val="16"/>
                <w:szCs w:val="16"/>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Useful Lives (Years)</w:t>
            </w:r>
          </w:p>
        </w:tc>
      </w:tr>
      <w:tr>
        <w:trPr>
          <w:trHeight w:val="23"/>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14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11</w:t>
            </w:r>
          </w:p>
        </w:tc>
      </w:tr>
    </w:tbl>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definite-lived intangible assets for impairment whenever events or changes in circumstances indicate the carrying value of such assets may not be recoverable. If an indication of impairment is present, the Company compares the estimated undiscounted future cash flows to be generated by the asset group to its carrying amount. Recoverability measurement and estimation of undiscounted cash flows are grouped at the lowest level for which identifiable cash flows are largely independent of the cash flows of other assets and liabilities. If the undiscounted future cash flows are less than the carrying amount of the asset group, the Company records an impairment loss equal to the excess of the asset group's carrying amount over its fair value. The fair value is determined based on valuation techniques such as a comparison to fair values of similar assets or using a discounted cash flow analysis.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believes that the carrying values of its goodwill and definite-lived intangible assets are appropriately stated as of December 31, 2025, changes in strategy or market conditions, significant technological developments or significant changes in legal or regulatory factors could significantly impact these judgments and require adjustments to recorded asset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Other Long-Lived Assets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other long-lived assets consist primarily of property and equipment and right-of-use ("ROU") assets. The Company evaluates its ROU and long-lived assets for impairment whenever events or changes in circumstances indicate the carrying value of such assets may not be recoverable. For facility lease ROU and related long-lived assets, the Company compares the estimated undiscounted cash flows generated by a sublease to the current carrying value of the ROU and related long-lived assets. The Company treats operating lease ROU assets as financing transactions, thereby excluding the operating lease liability and related lease payments from the head lease, for purposes of testing recoverability. If the undiscounted cash flows are less than the carrying value of the ROU and related long-lived assets, the Company records an impairment loss equal to the excess of the ROU and long-lived assets' carrying value over their fair value.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an analysis in the third quarter of 2024 related to the execution of a sublease for an office space for which expected cash receipts were less than the disbursements for the primary lease. The Company recorded a $1.4 million non-cash impairment charge related to the ROU asset and associated leasehold improvements during the three months ended September 30, 2024. The fair value of the ROU asset was estimated using an income approach and a discount rate of 9.3%.</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analysis in the third quarter of 2023 related to the abandonment of two leased office spaces, which changed the extent and manner for which the ROU assets and related long-lived assets were being used. The Company recorded a non-cash impairment charge of $1.5 million related to the ROU assets during the three months ended September 30, 2023.</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believes that the carrying values of its other long-lived assets are appropriately stated as of December 31, 2025, changes in strategy or market conditions, significant technological developments or significant changes in legal or regulatory factors could significantly impact these judgments and require adjustments to recorded asset balances.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Liability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2019, the Company issued warrants in connection with the private placement described in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The warrants were determined to be freestanding financial instruments that qualify for liability treatment as a result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settlement features associated with a cap on the issuance of shares, under certain circumstances, or upon a change of control. Changes in the fair value of these instruments were recorded in other income, net in the Consolidated Statements of Operations and Comprehensive Loss.</w:t>
      </w:r>
    </w:p>
    <w:p>
      <w:pPr>
        <w:spacing w:after="0" w:line="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warrant was estimated utilizing an option pricing model. Significant valuation inputs included the exercise price, price and expected volatility of the Company's Common Stock, risk-free rate and the remaining term of the warrants. All remaining warrants expired on June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 portfolio is comprised of two major classes. Real estate leases, which are the majority of the Company's leased assets, are accounted for as operating leases. Computer equipment leases are generally accounted for as finance leases.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whether the lease should be classified as an operating or finance lease. ROU assets and lease liabilities are recognized at the lease commencement date based on the present value of the future minimum lease payments over the lease term. Operating ROU assets also include the impact of any lease incentives. A ROU asset and lease liability are not recorded for short-term leases with an initial term of 12 months or less.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combine lease and non-lease components and account for them together as a single lease component, which increases the carrying amount of the ROU assets and lease liabilities. Non-lease components primarily include payments for common-area maintenance, utilities and other pass-through charges.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to determine the present value of the future lease payments. The incremental borrowing rate is estimated to approximate the interest rate on a collateralized basis with similar terms and payments, and in economic environments where the leased asset is located.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 terms include periods under options to extend or terminate the lease when it is reasonably certain that the Company will exercise that option.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non-cancelable lease term when measuring its ROU assets and lease liabilities.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Company's lease arrangements are primarily fixed; however, certain lease agreements contain variable payments, which are expensed as incurred and excluded from the measurement of ROU assets and lease liabilities. These payment amounts are affected by changes in market indices and costs for common-area maintenance, utilities and other pass-through charges that are based on usage or performance.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leases are included in operating ROU assets, current operating lease liability, and non-current operating lease liability in the Consolidated Balance Sheets. The Company recognizes lease expense (excluding variable lease costs) for its operating leases on a straight-line basis over the term of the lease. Finance lease assets are included in property and equipment, net; current finance lease liabilities are aggregated into other current liabilities; and non-current finance lease obligations are aggregated in other non-current liabilities in the Consolidated Balance Sheets. The Company recognizes interest expense on the lease liability and the ROU asset is amortized over the lease term for its finance leases.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subleased properties is recognized and presented as a reduction of costs, allocated among operating expense line items,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the functional currency of the Company's foreign subsidiaries is the local currency. In those cases where the transaction is not denominated in the functional currency, the Company revalues the transaction to the functional currency and records the transaction gain or loss in the Company's Statements of Operations and Comprehensive Loss. Assets and liabilities are translated at the current exchange rate as of the end of the year, and revenues and expenses are translated at average exchange rates in effect during the year. The gain or loss resulting from the process of translating a foreign subsidiary's functional currency financial statements into U.S. Dollars ("USD") is reflected as foreign currency cumulative translation adjustment and reported as a component of accumulated other comprehensive loss. The translation adjustments for intercompany foreign currency loans that are permanent in nature are also recorded as accumulated other comprehensive loss. Translation adjustments on intercompany accounts that are short term in nature are recorded as (loss) gain from foreign currency transactions. For foreign entities where USD is the functional currency, re-measurement of gains and losses related to deferred tax assets and liabilities are reflected in income tax provision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its customers in an amount reflecting the consideration to which it expects to be entitled.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 variable consideration are subject to constraint based on expected recovery from the customer. Sales taxes remitted to government authorities are excluded from the transaction price.</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based on relative SSP. Judgment is exercised to determine the SSP of each distinct performance obligation. In most cases, the Company bundles multiple products and very few are sold on a standalone basis. The Company primarily applies an adjusted market assessment approach for the determination of the SSP, which is supported by rate cards and pricing calculators that are periodically reviewed and updated to reflect the latest sales data and observable inputs by industry, channel, geography, customer size, and other relevant groupings.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promised goods or services to a customer. Customers may obtain the control of promised goods or services over time or at a point in time. Subscription-based revenues, and other products delivered continuously through a user interface, are recognized on a straight-line basis over an access period specified within the respective contract. Revenues for impression-based products are typically recognized over time, on a time-elapsed basis, as the customer is continuously consuming and receiving the benefits of campaign measurement, or an output method, such as volume of impressions processed during a discrete period. Report-based revenues are recognized at a point in time, which is generally once the product has been delivered to the customer. The Company also considers whether there is a present right to payment, and whether the customer has accepted the product if such acceptance provisions are substantive.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may have the right to cancel their contracts by providing a written notice of cancellation, although most subscription-based contracts are non-cancelable. If a customer cancels its contract, the customer is generally not entitled to a refund for prior services. In the event a portion of a contract is refundable, revenue recognition is delayed until the refund provision lapses. For multi-year contracts with annual price increases, the total consideration for each of the years included in the contract term will be combined and recognized on a straight-line basis.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transactions that involve third parties, the Company evaluates whether it is the principal, in which case it recognizes revenue on a gross basis. If the Company is an agent, it recognizes revenue on a net basis. This determination can require significant judgment for certain revenue share arrangements that involve the use of partner data in the Company's sales to end users or the use of its data in partner sales to end users. In these arrangements, the Company assesses which party controls the specified goods or services before they are transferred to the customer, as well as other indicators such as the party primarily responsible for fulfillment, inventory risk, and discretion in establishing price.</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a limited number of monetary contracts with multichannel video programming distributors ("MVPDs") that involve both the purchase and sale of services with a single counterparty. Each contract is assessed to determine if the revenue and expense should be presented gross or net. In some instances, the Company may provide free distinct goods or services as a form of non-cash consideration to the counterparty. Revenue is recognized for these contracts to the extent SSP is established for distinct services provided. Any excess consideration above the established SSP of services is presented as a reduction to cost of revenues in the Consolidated Statements of Operations and Comprehensive Loss. The fair value of non-cash consideration included in revenues during the years ended December 31, 2025, 2024 and 2023 totaled $4.3 million, $4.3 million, and $4.2 million, respectively. The fair value of non-cash consideration included in cost of revenues totaled $4.3 million during each of the years ended December 31, 2025,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billed and unbilled amounts where the right to payment from the customer is unconditional but for the passage of time. Contract assets represent amounts where the right to payment in exchange for goods or services transferred is conditioned on future events, such as the entity's continued performance. The portion of contract assets to be billed in the succeeding twelve-month period are included in prepaid expenses and other current assets, and the remaining amounts are included in other non-current assets within the Consolidated Balance Sheets.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relate to amounts billed in advance, or advance consideration received from customers, under non-cancelable contracts for which exchange of goods or services will occur in the future. Customer advances relate to amounts billed in advance, or advance considerations received from customers, for contracts with termination rights for which exchange of goods or services will occur in the future. The portion of contract liabilities and customer advances to be recognized in the succeeding twelve-month period are presented separately within current liabilities, and the remaining amounts are included in other non-current liabilities within the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an optional exemption to not disclose information about the amount of the transaction price allocated to remaining performance obligations for contracts that have an original expected duration of one year or less. The amount disclosed for remaining performance obligations also excludes variable consideration from unsatisfied performance obligations within a series where revenue is recognized using an output method, such as volume of impressions processed.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costs to produce the Company's products including viewing data from MVPDs, census-based, panel and other third-party data as well as costs to operate its network infrastructure including data center, data storage and compliance costs. Other costs include employee costs including stock-based compensation, depreciation related to assets used to maintain the network and produce products and allocated overhead, including rent and depreciation expenses generated by general purpose equipment and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commissions, stock-based compensation, benefits and bonuses for personnel associated with sales and marketing activities, as well as costs related to online and offline advertising, product management, seminars, promotional materials, public relations, other sales and marketing programs, and allocated overhead, including rent and other facilities related costs, and depreciation.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stock-based compensation, benefits and related costs for personnel associated with research and development activities, as well as allocated overhead, including rent and other facilities related costs, and depreciation.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benefits and related costs for executive management, finance, accounting, human capital, legal, information technology and other administrative functions, as well as professional fees and allocated overhead, including rent and other facilities related costs, depreciation and expenses incurred for other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include expenditures necessary to obtain debt financing and are amortized on a straight-line basis, which approximates the effective interest method over the term of the underlying debt instrument. Debt issuance costs, except for costs associated with the Revolving Facility (as defined below), are presented as a direct deduction from the related debt liability in the Consolidated Balance Sheets. Debt issuance costs for the Revolving Facility are included in other non-current assets in the Consolidated Balance Sheets. The Term Loan (as defined below) and Revolving Facility issuance costs are amortized to interest expense, net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stock-based awards on their grant date. The fair value of stock options with only service conditions is determined using the Black-Scholes option pricing model. The determination of the fair value of the Company's stock option awards is based on a variety of factors, including, but not limited to, the Company's Common Stock price, risk-free rate, expected stock price volatility over the expected life of awards, and the expected term of the option. The fair value of restricted stock units ("RSUs") is based on the closing price of the Company's Common Stock on the grant date. The Company amortizes the fair value of awards expected to vest on a straight-line basis over the requisite service periods of the awards, which is generally the period from the grant date to the end of the vesting period.</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stock options with a vesting period based solely upon the passage of time (service vesting). To determine the expected term of the option the Company applies the simplified method for plain-vanilla options due to the lack of significant historical exercise experience. For non-employee options that do not qualify as plain-vanilla the Company has elected to apply the contractual term of the award.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issues RSU awards with a vesting period based solely upon the passage of time (service vesting), achieving performance targets, fulfillment of market conditions, or a combination thereof. For those RSU awards with only service vesting, the Company recognizes compensation cost on a straight-line basis over the service period. For awards with both service and performance conditions, the Company starts recognizing compensation cost over the remaining service period when it is probable the performance conditions will be met. Stock awards that contain performance vesting conditions are excluded from diluted earnings per share ("EPS") computations until the contingency is met as of the end of that reporting period.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awards with both service and market conditions, the Company recognizes compensation cost over the remaining service period, with the effect of the market condition reflected in the determination of the award's fair value at the grant date. The Company values awards with market conditions using certain valuation techniques, such as a lattice model or Monte Carlo simulation analysis. The Company determines the requisite service period based on the longer of the explicit service period and the derived service period. Stock awards that contain market</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vesting conditions are included in the computations of diluted EPS reflecting the number of shares that would be issued based on the current market price at the end of the period being reported on, if their effect is dilutive.</w:t>
      </w:r>
    </w:p>
    <w:p>
      <w:pPr>
        <w:spacing w:after="0" w:line="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Company's annual incentive compensation plan, the Company may grant immediately vested RSUs to certain employees. For these awards, stock-based compensation expense is accrued commencing at the service inception date, which generally precedes the grant date, through the end of the requisite service period.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forfeitures for stock-based awards at their grant date based on historical experience. The estimated forfeiture rate as of December 31, 2025, 2024 and 2023 was 10.0% for non-executive awards. Awards granted to senior executives have an estimated forfeiture rate of zero. The Company performs a review of its forfeiture rate assumption on an annual basis. Changes in the estimates and assumptions relating to forfeitures and subsequent grants may result in material changes to stock-based compensation expense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Excess tax benefits and tax deficiencies are recognized in the income tax provision in the period in which they occur.</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 valuation allowance when it determines, based on available positive and negative evidence, that it is more likely than not that some portion or all of its deferred tax assets will not be realized. The Company determines the realizability of its deferred tax assets primarily based on the reversal of existing taxable temporary differences and projections of future taxable income (exclusive of reversing temporary differences and carryforwards). In evaluating such projections, the Company considers its history of profitability, the competitive environment, and general economic conditions. In addition, the Company considers the time frame over which it would take to utilize the deferred tax assets prior to their expiration.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tax positions, the Company uses a more-likely-than-not threshold based on the technical merits of the tax position taken. Tax positions that meet the more-likely-than-not recognition threshold are measured at the largest amount of tax benefits determined on a cumulative probability basis, which are more likely than not to be realized upon ultimate settlement in the financial statements. The Company's policy is to recognize interest and penalties related to income tax matters in income tax expense.</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2017, U.S. tax reform legislation known as the Tax Cuts and Jobs Act (the "TCJA") was signed into law. The Company determined the effects of certain provisions, including but not limited to: a reduction in the corporate tax rate from 35% to 21%, a limitation of the deductibility of certain officers' compensation, a limitation on the current deductibility of net interest expense in excess of 30% of adjusted taxable income, a limitation of net operating losses generated after 2018 to 80% of taxable income, an incremental tax (base erosion anti-abuse or "BEAT") on excessive amounts paid to foreign related parties, and a minimum tax on certain foreign earnings in excess of 10% of the foreign subsidiaries' tangible assets (global intangible low-taxed income or "GILTI"). As part of its GILTI review, the Company has determined that it will account for GILTI income as it is generated (i.e., treat it as a period expense). Given the Company's loss position in the U.S. and the valuation allowance recorded against its U.S. net deferred tax assets, these provisions have not had a material impact on the Company's consolidated financial statements.</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2022, the TCJA eliminated the option to immediately deduct research and experiment ("R&amp;E") expenditures in the year incurred pursuant to Internal Revenue Code Section 174 ("Section 174"). The amended provision under Section 174 requires taxpayers to capitalize and amortize these expenditures over five years for research performed in the U.S. and over 15 years for research performed outside the U.S. Due to the Company's federal and state net operating loss ("NOL") carryforwards, the amended provision under Section 174 only increased the Company's state cash taxes payable and reduced its cash flow from operating activities by an immaterial amount in 2025, 2024 and 2023. The capitalized R&amp;E expenditures merely caused a reclassification between the NOL deferred tax asset and capitalized R&amp;E deferred tax asset as of December 31, 2025 and 2024. Because the Company's deferred tax assets have a full valuation allowance against them, the amended provision under Section 174 did not materially impact the Company's tax rate or results of operations.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(the "OBBB") Act was signed into law in the United States. The OBBB Act includes significant provisions, such as the permanent extension and modification of certain provisions of the TCJA, modifications to the international tax framework and the restoration of favorable tax treatment for certain business provisions. The legislation has multiple effective dates, with certain provisions beginning in 2025 and others beginning at various dates through 2027. The OBBB Act permanently restores immediate expensing of domestic R&amp;E expenditures in tax years beginning after December 31, 2024, while foreign R&amp;E expenditures remain subject to 15-year amortization under Section 174. The OBBB Act did not materially impact the Company's income tax position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two-class method to calculate earnings per share. The two-class method is an earnings allocation formula that treats a participating security as having rights to earnings that otherwise would have been available to common stockholders. Under the two-class method, earnings for the period are allocated between common stockholders and participating security holders based on their respective rights to receive dividends as if all undistributed book earnings for the period were distributed.</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available to only the common stockholders by the weighted-average number of common shares outstanding for the period. This includes the effect of vested and deferred stock units granted to members of the Company's Board of Directors ("Board") and certain employees. These awards are expected to be settled in shares of Common Stock and generally distributed upon the earlier of the individual's separation from service or a change of control. Diluted earnings per share includes the effect of potential common shares, such as the Company's Series B Preferred Stock, Series C Preferred Stock, stock options, restricted stock units and contingent consideration and warrants, to the extent the effect is dilutive. In periods with a net loss available to common stockholders, the anti-dilutive effect of these potential common shares is excluded and diluted net loss per share is equal to basic net loss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computation of basic and diluted earnings (loss) per common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(loss) per common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Convertible redeemable preferred stock dividends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Plus: Preferred stockholders' deemed contribution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income allocated to convertible redeemable preferred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22,569</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(77,848)</w:t>
            </w:r>
          </w:p>
        </w:tc>
        <w:tc>
          <w:tcPr>
            <w:tcW w:w="80" w:type="dxa"/>
            <w:vAlign w:val="bottom"/>
          </w:tcPr>
          <w:p>
            <w:pPr>
              <w:spacing w:after="0"/>
              <w:rPr>
                <w:sz w:val="17"/>
                <w:szCs w:val="17"/>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(95,631)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5,247,356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common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5,247,356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effect of unvested RSUs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Weighted-average number of shares outstanding - Diluted</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5,307,608</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5,014,049</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4,811,233</w:t>
            </w:r>
          </w:p>
        </w:tc>
        <w:tc>
          <w:tcPr>
            <w:tcW w:w="0" w:type="dxa"/>
            <w:vAlign w:val="bottom"/>
          </w:tcPr>
          <w:p>
            <w:pPr>
              <w:spacing w:after="0"/>
              <w:rPr>
                <w:sz w:val="1"/>
                <w:szCs w:val="1"/>
                <w:color w:val="auto"/>
              </w:rPr>
            </w:pPr>
          </w:p>
        </w:tc>
      </w:tr>
      <w:tr>
        <w:trPr>
          <w:trHeight w:val="251"/>
        </w:trPr>
        <w:tc>
          <w:tcPr>
            <w:tcW w:w="6820" w:type="dxa"/>
            <w:vAlign w:val="bottom"/>
            <w:tcBorders>
              <w:bottom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Diluted earnings (loss) per common share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right="20" w:firstLine="8"/>
        <w:spacing w:after="0" w:line="248" w:lineRule="auto"/>
        <w:tabs>
          <w:tab w:leader="none" w:pos="147"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 ended December 31, 2025, the Company computed diluted earnings per common share under both the treasury stock and two-class methods and applied the more dilutive method, which was the treasury stock method.</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Common Stock equivalents for the securities outstanding during the respective periods that have been excluded from the computation of diluted net earnings (loss) per common share, as their effect would be anti-dilutive: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3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2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Series B convertible preferred stock </w:t>
            </w:r>
            <w:r>
              <w:rPr>
                <w:rFonts w:ascii="Times New Roman" w:cs="Times New Roman" w:eastAsia="Times New Roman" w:hAnsi="Times New Roman"/>
                <w:sz w:val="21"/>
                <w:szCs w:val="21"/>
                <w:color w:val="auto"/>
                <w:vertAlign w:val="superscript"/>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4,942,293</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4,699,620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4,285,418</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295,249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294,388</w:t>
            </w: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Series C convertible preferred stock </w:t>
            </w:r>
            <w:r>
              <w:rPr>
                <w:rFonts w:ascii="Times New Roman" w:cs="Times New Roman" w:eastAsia="Times New Roman" w:hAnsi="Times New Roman"/>
                <w:sz w:val="21"/>
                <w:szCs w:val="21"/>
                <w:color w:val="auto"/>
                <w:vertAlign w:val="superscript"/>
              </w:rPr>
              <w:t>(2)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272,851</w:t>
            </w: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71,377</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5,181,380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5,127,567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4,924,034</w:t>
            </w:r>
          </w:p>
        </w:tc>
      </w:tr>
      <w:tr>
        <w:trPr>
          <w:trHeight w:val="20"/>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firstLine="8"/>
        <w:spacing w:after="0" w:line="237" w:lineRule="auto"/>
        <w:tabs>
          <w:tab w:leader="none" w:pos="152"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effect of potential Common Stock that would be issued to settle unpaid dividends accrued to holders of the Series B Preferred Stock if they elected to convert their shares at the beginning of the period (or at the time of issuance, if later).</w:t>
      </w:r>
    </w:p>
    <w:p>
      <w:pPr>
        <w:ind w:firstLine="8"/>
        <w:spacing w:after="0"/>
        <w:tabs>
          <w:tab w:leader="none" w:pos="132" w:val="left"/>
        </w:tabs>
        <w:numPr>
          <w:ilvl w:val="0"/>
          <w:numId w:val="4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the effect of potential Common Stock that would be issued to holders of the Preferred Stock if they elected to convert their shares at the beginning of the period (or at the time of issuance, if later).</w:t>
      </w:r>
    </w:p>
    <w:p>
      <w:pPr>
        <w:spacing w:after="0" w:line="168" w:lineRule="exact"/>
        <w:rPr>
          <w:rFonts w:ascii="Times New Roman" w:cs="Times New Roman" w:eastAsia="Times New Roman" w:hAnsi="Times New Roman"/>
          <w:sz w:val="15"/>
          <w:szCs w:val="15"/>
          <w:color w:val="auto"/>
          <w:vertAlign w:val="superscript"/>
        </w:rPr>
      </w:pPr>
    </w:p>
    <w:p>
      <w:pPr>
        <w:jc w:val="both"/>
        <w:ind w:firstLine="8"/>
        <w:spacing w:after="0" w:line="261" w:lineRule="auto"/>
        <w:tabs>
          <w:tab w:leader="none" w:pos="132"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 contingent consideration liability was recognized as part of the Company's acquisition of Shareablee in December 2021. The liability payments could have been settled in any combination of cash or shares of Common Stock based on the volume-weighted average trading price of the Common Stock for the 10 trading days prior to the date of each payment. In the first quarter of 2025, the Company settled the third and final installment of $1.2 million in cash and there is no further contingent consideration liability outstanding. As of December 31, 2024, there were no contingently issuable shares as the Company had elected to settle the third and last installment of $1.2 million in cash. The Company calculated a potential anti-dilutive share count based on the maximum contingent consideration as of December 31, 2023 of $1.2 million and the $16.70 per share closing price of the Company's Common Stock on the Nasdaq Global Select Market on December 29, 2023.</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to improve the transparency of income tax disclosures by requiring consistent categories and greater disaggregation of information in the rate reconciliation and income taxes paid disaggregated by jurisdiction. The amendments are effective for fiscal years beginning after December 15, 2024 and early adoption is permitted. The Company adopted ASU 2023-09 during the year ended December 31, 2025 on a prospective basis. Refer to </w:t>
      </w:r>
      <w:r>
        <w:rPr>
          <w:rFonts w:ascii="Times New Roman" w:cs="Times New Roman" w:eastAsia="Times New Roman" w:hAnsi="Times New Roman"/>
          <w:sz w:val="18"/>
          <w:szCs w:val="18"/>
          <w:u w:val="single" w:color="auto"/>
          <w:color w:val="0000FF"/>
        </w:rPr>
        <w:t>Footnote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Issued But Not Adopted at December 31, 2025</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This guidance modernizes accounting for software costs by removing rigid developmental stages and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aligning the accounting treatment with how software is developed today. The ASU allows eligible software development costs to begin being capitalized when management has authorized and committed to funding the software project, it is probable that the project will be completed and the software will be used to perform the function intended. The effective date for the standard is for fiscal years beginning after December 15, 2027, and interim periods within those fiscal years. Early adoption is permitted. The amendments in this ASU should be applied either prospectively, retrospectively, or utilizing a modified transition approach. The Company is currently evaluating the impact that this standard will have on its Consolidated Financial Statements and related disclosures.</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The ASU allows companies to apply a practical expedient when estimating credit losses on current accounts receivable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The update is effective for fiscal years beginning after December 15, 2025, with early adoption permitted. The Company does not expect this standard to have a material impact on the Company's Consolidated Financial Statements and related disclosures.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ASU requires additional disclosure of the nature of certain expenses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The update is effective for fiscal years beginning after December 15, 2026, and interim periods within fiscal years beginning after December 15, 2027. Early adoption is permitted. The ASU is required to be applied prospectively with the option for retrospective application. The Company is currently evaluating the impact that this standard will have on its Consolidated Financial Statements and related disclosures.</w:t>
      </w:r>
    </w:p>
    <w:p>
      <w:pPr>
        <w:spacing w:after="0" w:line="181"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one reportable segment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such, the disaggregation of revenue below reconciles directly to its unique reportable segment. The following table presents the Company's revenue disaggregated by solution group.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By solution group:</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253,932</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Cross-Platform</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0" w:type="dxa"/>
            <w:vAlign w:val="bottom"/>
          </w:tcPr>
          <w:p>
            <w:pPr>
              <w:spacing w:after="0"/>
              <w:rPr>
                <w:sz w:val="1"/>
                <w:szCs w:val="1"/>
                <w:color w:val="auto"/>
              </w:rPr>
            </w:pPr>
          </w:p>
        </w:tc>
      </w:tr>
      <w:tr>
        <w:trPr>
          <w:trHeight w:val="207"/>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Content &amp; Ad Measurement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geographical market and timing of transfer of products and services. The Company generally attributes revenue to geographical markets based on the location of the customer.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By geographical market</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315,391</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335,785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18,738</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By timing of revenue recognition</w:t>
            </w: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Products and services transferred over time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300,974</w:t>
            </w:r>
          </w:p>
        </w:tc>
        <w:tc>
          <w:tcPr>
            <w:tcW w:w="4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315,093</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Products and services transferred at a point in time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56,495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56,250</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contract liabilities and customer advances from contracts with customers: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64,266</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and non-current contract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current contract liabilities balances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opening contract liabilities balance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or amounts billed in advance and not recognized as revenue</w:t>
            </w:r>
          </w:p>
        </w:tc>
        <w:tc>
          <w:tcPr>
            <w:tcW w:w="32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32,794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41,488</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approximately $180 million of revenue is expected to be recognized from remaining performance obligations that are unsatisfied (or partially unsatisfied) for non-cancelable contracts with an original expected duration of longer than one year. The Company expects to recognize revenue on approximately 60% of these remaining performance obligations in 2026, and approximately 28% in 2027, with the remainder recognized thereafter.</w:t>
      </w:r>
    </w:p>
    <w:p>
      <w:pPr>
        <w:spacing w:after="0" w:line="176"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Stock and Stockholders' Equity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Issuance of Series B Preferred Stock</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2021 (the "Series B Closing Date"), the Company entered into separate Securities Purchase Agreements with each of Charter, Qurate and Pine (the "Securities Purchase Agreements"). The issuance of securities pursuant to the Securities Purchase Agreements (the "Transactions") and related matters were approved by the Company's stockholders on March 9, 2021 and completed on March 10, 2021. At the closing of the Transactions, the Company issued and sold (a) to Charter, 27,509,203 shares of Series B Preferred Stock in exchange for $68.0 million, (b) to Qurate, 27,509,203 shares of Series B Preferred Stock in exchange for $68.0 million and (c) to Pine, 27,509,203 shares of Series B Preferred Stock in exchange for $68.0 million. The shares were issued at a par value of $0.001. Net proceeds from the Transactions totaled $187.9 million after deducting issuance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2023, Qurate sold 27,509,203 shares of Series B Preferred Stock to Liberty in a privately negotiated transaction.</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June 15, 2023 (the "Annual Meeting"),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governing the Series B Preferred Stock. On the same date, each holder of Series B Preferred Stock waived its right to receive on June 30, 2023 the annual dividends otherwise payable by the Company on that date (the "June 2023 Waivers"). Upon receipt of the June 2023 Waivers, the Company's Board elected to defer the June 30, 2023 payment. Under the June 2023 Waivers and the Certificate of Designations, the deferred dividends would accrue and accumulate at a rate of 9.5% per year from June 30, 2023 until declared and paid, with payment to occur on or before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Series B Preferred Stock waived its right to receive the deferred dividends on or before December 31, 2023 (the "December Waivers"). Under the December Waivers and the Certificate of Designations, the deferred dividends would continue to accrue at a rate of 9.5% per year until declared and paid, with payment to occur on or before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Series B Preferred Stock further waived its right to receive the deferred dividends on or before June 30, 2024 (the "June 2024 Waivers"). In addition, each holder waived its right to receive on June 30, 2024 the annual dividends otherwise payable on that date for the dividend period ending June 29, 2024. Under the June 2024 Waivers and the Certificate of Designations, the deferred dividends for both periods (2023 and 2024) would continue to accrue and accumulate at a rate of 9.5% per year until declared and paid, with payment to occur on or before July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Issuance of Series B Preferred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24, 2024 (the "2024 Issuance Date"), the Company issued 13,257,294 shares of Series B Preferred Stock to the existing holders of Series B Preferred Stock in exchange for cancellation of the Company's obligation to pay the deferred dividends totaling $32.8 million to such holders for annual dividend periods ended in 2023 and 2024. As of the 2024 Issuance Date, the additional shares of Series B Preferred Stock were convertible into 662,862 shares of the Company's Common Stock, representing an effective conversion price of $49.438 per share for the canceled dividend obligation.</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additional shares of Series B Preferred Stock had the same terms and conditions as the Series B Preferred Stock previously issued by the Company, including that holders were entitled to cumulative dividends at a rate of 7.5% per annum, payable annually in arrears and subject to increase under certain circumstances.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issuance, the Company and the holders of Series B Preferred Stock also entered into an amendment to the Stockholders Agreement. Among other things, the amendment reduced the $100.0 million special dividend threshold set forth in the Stockholders Agreement by an amount equal to the liquidation preference of the additional shares of Series B Preferred Stock ($32.8 million). After further reducing the threshold by annual dividends paid in prior years, the special dividend threshold was $47.0 million.</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Consolidated Financial Statements, the 2024 issuance of Series B Preferred Stock was deemed to be a payment of the deferred dividends in the form of Series B Preferred Stock, and the cancellation of the deferred dividend balance constituted an extinguishment of the liability. For extinguishments of a liability, the difference between the requisition price and the net carrying amount of the liability being extinguished should be recognized as a gain or loss when the liability is extinguished. Therefore, the Company estimated the fair value using a binomial lattice model, a form of the income approach, utilizing Level 3 unobservable inputs.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 The Company recorded the fair value of the additional shares of Series B Preferred Stock, net of issuance costs of $19.6 million within mezzanine equity. The remaining $13.0 million of the cancelled dividend balance was recognized in additional paid-in capital on the Consolidated Balance Sheet, because gains in transactions with related parties are recognized as equity contributions.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each holder of Series B Preferred Stock waived its right to receive on June 30, 2025 the annual dividends otherwise payable by the Company on that date (the "June 2025 Waivers"). Under the June 2025 Waivers and the Certificate of Designations, the deferred dividends accrued and accumulated at a rate of 9.5% per year from June 30, 2025 until they were extinguished as part of the Recapitalization Transaction.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the Company entered into the Exchange Agreements with each holder of Series B Preferred Stock, pursuant to which, at the closing of the Exchange, each holder would exchange the Series B Preferred Stock then owned by such holder for shares of Series C Preferred Stock, Common Stock, and a fixed cash payment payable in 2028. The Recapitalization Transaction was approved by the Company's stockholders on December 19, 2025 and closed on December 29, 2025, as further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Issuance of Series C Preferred Stock (Recapitalization Transaction)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2025, Charter, Liberty, and Pine each exchanged 31,928,301 shares of Series B Preferred Stock for (i) 4,223,621 shares of Series C Preferred Stock (referred to as "Preferred Stock" below) and (ii) 3,286,825 shares of Common Stock. The Series B Preferred Stock liquidation preference at the time of the Closing was $264.5 million. Of the total Series B Preferred Stock liquidation preference, $183.7 million was exchanged for Preferred Stock at a price of $14.50 per share (the "Purchase Price"), for an aggregate issuance of 12,670,863 shares of Preferred Stock. The remaining Series B Preferred Stock liquidation preference of $80.8 million was exchanged for an aggregate of 9,860,475 shares of Common Stock, yielding an implied exchange price of $8.19 per share. In the Exchange Agreements, the Company also agreed to make a fixed cash payment of $2.0 million to each Preferred Stockholder on June 30, 2028, whether or not the Preferred Stockholders continue to own any securities of the Company on the payment date.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Recapitalization Transaction, the Company filed a Certificate of Elimination of Designation of Series B Preferred Stock ("Certificate of Elimination"), returning the shares of Series B Preferred Stock to the status of undesignated preferred stock and eliminating from the Amended and Restated Certificate of Incorporation of the Company all matters set forth in the Certificate of Designations of Series B Preferred Stock. Additionally, following the filing of the Certification of Elimination, the Company filed a Certificate of Amendment of its Amended and Restated Certificate of Incorporation (the "Certificate of Amendment"). The Certificate of Amendment permitted the issuance of Common Stock and Preferred Stock to the Preferred Stockholders in connection with the Exchange and authorized a sufficient number of shares of preferred stock and Common Stock into which shares of Preferred Stock may be converted. The Certificate of Amendment (a) decreased the total number of shares of stock authorized for issuance from 121,750,000 to 60,000,000, (b) decreased the number of shares of preferred stock authorized for issuance from 105,000,000 to 14,000,000 and (c) increased the number of shares of Common Stock authorized for issuance from 16,750,000 to 46,000,000. Finally, the Company filed a new Certificate of Designations establishing the powers, designations, preferences, rights and limitations of shares of Preferred Stock.</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Consolidated Financial Statements, the Recapitalization Transaction was deemed to be an extinguishment of the Series B Preferred Stock and the associated accrued and deferred dividends on the Closing Date. For extinguishments of equity-classified preferred stock, the difference between the fair value of the consideration transferred to the holders of the preferred stock and the carrying amount of the preferred stock immediately before the exchange, net of issuance costs, should be treated as a return from the holders of the preferred stock in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manner similar to dividends paid on preferred stock. For example, any excess of carrying value over fair value is treated as a contribution from the holders of the preferred stock and recognized within retained earnings as a gain. Therefore, the Company estimated the fair value of the Preferred Stock using a binomial lattice model, a form of the income approach, utilizing Level 3 unobservable inputs. The Company used significant inputs and assumptions which included the price and expected volatility of the Common Stock (into which the Preferred Stock can be converted), risk-adjusted discount rate, risk-free rate, and expected term as of the Closing Date. The Company recorded the fair value of the Preferred Stock, net of issuance costs of $1.4 million, within mezzanine equity on the Consolidated Balance Sheet. The fair value of the Exchange Common Stock was determined based on the closing market price of the Company's Common Stock on the Closing Date. The Company recorded the fair value of the Exchange Common Stock, net of issuance costs of $1.0 million within permanent equity, with the amount above par value recognized within additional paid-in capital on the Consolidated Balance Sheet. The Company recorded the present value of the total future fixed payment of $6.0 million to be paid on June 30, 2028 within non-current liabilities on the Consolidated Balance Sheet.</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the Company derecognized (i) the carrying amount of $207.5 million of the Series B Preferred Stock, net of issuance costs of $16.3 million and (ii) the accrued dividend liability of $27.7 million from the Consolidated Balance Sheet. The $73.0 million difference between the consideration transferred and the Series B Preferred Stock carrying value as of the Closing Date was recorded in retained earnings.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of Designations of the Preferred Stock and related agreements include the following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2021, the Company entered into a Registration Rights Agreement (the "RRA") with the holders of the Series B Preferred Stock (together with any other party that may become a party to the RRA), pursuant to which, among other things, and on the terms and subject to certain limitations set forth therein, the Company was obligated to file a registration statement registering the sale or distribution of shares of Series B Preferred Stock or Common Stock held by any holder, including any shares of Common Stock acquired by any holder pursuant to the conversion of the Series B Preferred Stock, and any other securities issued or issuable with respect to any such shares of Common Stock or Series B Preferred Stock by way of share split, share dividend, distribution, recapitalization, merger, exchange, replacement or similar event or otherwise (the "Registrable Securities"). In addition, pursuant to the RRA, the holders have the right to require the Company, subject to certain limitations, to effect a sale of any or all of their Registrable Securities by means of an underwritten offering or an underwritten block trade or bought deal.</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amended the RRA (the "RRA Amendment"). The RRA Amendment, among other things, amended the definition of "Registrable Securities" under the RRA to include shares of Preferred Stock and shares of Common Stock issued upon conversion of the Preferred Stock. The Company is obligated to file a registration statement with respect to such shares in accordance with the terms of the RRA and plans to file that registration statement in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Preferred Stock have one vote per share (subject to adjustment in accordance with the Certificate of Designations) and are entitled to vote as a single class with the holders of the Common Stock and the holders of any other class or series of capital stock of the Company then entitled to vote with the Common Stock on all matters submitted to a vote of the holders of Common Stock. However, to the extent that the Preferred Stock and any shares of Common Stock held as of the Closing Date by a Preferred Stockholder, together with certain transferees and affiliates, would represent voting rights with respect to more than 16.66% of the Common Stock (including the Preferred Stock on an as-converted basis) (the "Voting Threshold"), such Preferred Stockholder will not be permitted to exercise the voting rights with respect to any shares of Preferred Stock held by them in excess of the Voting Threshold and the Company shall exercise voting rights with respect to such shares of Preferred Stock in excess of the Voting Threshold in a neutral manner. To the extent that a holder acquires shares of Preferred Stock from another holder, the acquiring holder's Voting Threshold will be increased proportionately based on the number of shares that such holder acquires and the disposing holder's Voting Threshold will be decreased proportionately, such that the aggregate Voting Threshold of all holders does not exceed 49.99%. Additional voting restrictions are set forth in the Stockholders Agreement between the Company and the Preferred Stockholders, as amended and restated on the Closing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Rights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the Preferred Stock are not entitled to receive annual or special dividends, but are entitled to participate in all dividends declared on the Common Stock on an as-converted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Anti-Dilution Adjustments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Stock is subject to anti-dilution adjustment upon the occurrence of certain events, including issuance of certain dividends or distributions to holders of Common Stock, split or combination of Common Stock, reclassification of Common Stock into a greater or lesser number of shares, or certain repurchases of Common Stock, subject to limitations set forth in the Certificate of Designations.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Liquidation Preference and Change of Control Provisions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Stock ranks senior to the Common Stock with respect to dividend rights and rights on the distribution of assets in the event of a liquidation, dissolution or winding up of the affairs of the Company, and ranks junior to secured and unsecured indebtedness. The Preferred Stock has a liquidation preference equal to the Purchase Price ($14.50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Preferred Stock includes a change of control put option which allows the holders of the Preferred Stock to require the Company to repurchase such holders' shares at a purchase price per share equal to the liquidation preference (as defined in the Certificate of Designations). To the extent the holders of the Preferred Stock do not exercise the put option in a covered change of control, the Company has the right to redeem (subject to the holders' right to convert prior to such redemption) the remaining Preferred Stock at a redemption price per share equal to the liquidation preference. If the Company does not pay the amounts due to the holders in connection with a change of control put or call in full when due, any unpaid amount will accrue interest at a rate of 9.5% per annum until the relevant shares are repurchased.</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Provisions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Preferred Stock is convertible at the option of the holders at any time into a number of shares of Common Stock based on a conversion rate set in accordance with the Certificate of Designations of the Preferred Stock, provided that each holder will receive cash in lieu of fractional shares (if any), and provided further that no holder will be entitled to convert Preferred Stock in an amount that would cause such holder to beneficially own immediately following such conversion more than 49.99% of the then-outstanding shares of Common Stock. The conversion rate is calculated as the product of (i) the conversion factor and (ii) one. The conversion right is subject to certain anti-dilution adjustments. As of December 31, 2025, each share of Preferred Stock was convertible into one share of Common Stock.</w:t>
      </w:r>
    </w:p>
    <w:p>
      <w:pPr>
        <w:spacing w:after="0" w:line="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volume-weighted average price ("VWAP") per share of Common Stock for any calendar quarter ending after the six-month anniversary of the Closing Date (a "Conversion Quarter") is greater than the Mandatory Conversion Price (initially $18.85 or 130% of the conversion price as of such time) then, if a majority of the members of the Board that have not been designated by, and are not affiliated with, any holder so direct, the Company shall convert into shares of Common Stock, on a pro rata basis based on the number of shares of Preferred Stock held as of the date of the Notice of Mandatory Conversion (as defined within the Certificate of Designations), up to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total shares of Preferred Stock outstanding as of the Closing Date on a date selected by the Company that is within six months after the last day of the Conversion Quarter, provided that if the conversion of a holder's pro rata share of the then-outstanding shares of Preferred Stock would cause such holder to beneficially own immediately following such conversion more than 49.99% of the then-outstanding shares of Common Stock, the number of such holder's shares of Preferred Stock that may be converted will be reduced to the greatest number of shares that would cause such holder to beneficially own immediately following such conversion no more than 49.99% of the then-outstanding shares of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shares of Preferred Stock have been converted into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Issuance and Sale of Common Stock and Warrants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2019, the Company entered into a Securities Purchase Agreement with CVI Investments, Inc. ("CVI"), pursuant to which CVI agreed to purchase (i) 136,425 shares of Common Stock (the "Initial Shares"), at a price of $146.60 per share and (ii) Series A Warrants, Series B-1 Warrants, Series B-2 Warrants and Series C Warrants, for aggregate gross proceeds of $20.0 million (the "Private Placement"). The Private Placement closed on June 26, 2019 (the "CVI Closing Date"). The Series B-1 Warrants and Series B-2 Warrants expired in 2020.</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C Warrants were exercised on October 10, 2019. As a result of this exercise, the Company issued 136,425 shares of Common Stock to CVI on October 14, 2019. In addition, the number of shares issuable under the Series A Warrants was increased by 136,425.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Warrants were exercisable by the holders for a period of five years from the CVI Closing Date and were exercisable into 272,851 shares of Common Stock, equal to the Initial Shares plus the number of shares issued pursuant to the exercise of the Series C Warrants (described above), at an adjusted exercise price equal to $15.83. The Series A Warrants expired on June 26,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Stock Option/Issuance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the Company assumed certain equity awards outstanding under the Shareablee, Inc. 2013 Stock Option/Stock Issuance Plan (the "2013 Plan") in connection with the acquisition of Shareablee. The Company registered the securities issuable under the 2013 Plan with the SEC on December 23, 2021. The 2013 Plan expired on June 21, 2023. As a result, there are no shares remaining available for future equity awards under the 2013 Plan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and Incentive Compensation Plan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stockholders approved the 2018 Equity and Incentive Compensation Plan (the "2018 Plan") at the Company's 2018 Annual Meeting, approved an amendment and restatement of the 2018 Plan at the Company's 2020 Annual Meeting, and has subsequently approved further amendments of the 2018 Plan at various Annual Meetings. Under the 2018 Plan, as amended, the Company may grant option rights, appreciation rights, restricted stock awards, restricted stock units, performance shares and performance units up to 4,792,500 shares of Common Stock. The aggregate number of shares of Common Stock available will be reduced by: (i) one share of Common Stock for every one share of Common Stock subject to an award of option rights or appreciation rights granted under the 2018 Plan and (ii) two shares of Common Stock for every one share of Common Stock subject to an award other than option rights or appreciation rights granted under the 2018 Plan. If any award granted under the 2018 Plan (in whole or in part) is canceled or forfeited, expires, is settled in cash, or is unearned, the shares of Common Stock subject to such award will, to the extent of such cancellation, forfeiture, expiration, cash settlement, or unearned amount, again be available at a rate of one share of Common Stock for every one share of Common Stock subject to awards of option rights or appreciation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rights and two shares of Common Stock for every one share of Common Stock subject to awards other than of option rights or appreciation rights. The Company registered the securities under the 2018 Plan with the SEC effective June 1, 2018. The maximum number of shares available for future issuance under the 2018 Plan as of December 31, 2025 (excluding outstanding awards) is 2,572,844.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approved and awarded for the years ended December 31, 2025, 2024 and 2023 under the 2018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options exercised, forfeited and expired during the years ended December 31, 2025, 2024 and 2023 is included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6"/>
        </w:trPr>
        <w:tc>
          <w:tcPr>
            <w:tcW w:w="832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w:t>
            </w:r>
          </w:p>
        </w:tc>
      </w:tr>
      <w:tr>
        <w:trPr>
          <w:trHeight w:val="213"/>
        </w:trPr>
        <w:tc>
          <w:tcPr>
            <w:tcW w:w="8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3"/>
        </w:trPr>
        <w:tc>
          <w:tcPr>
            <w:tcW w:w="8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r>
      <w:tr>
        <w:trPr>
          <w:trHeight w:val="213"/>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Options 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1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20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outstanding, and exercisable, as of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tcPr>
          <w:p>
            <w:pPr>
              <w:jc w:val="center"/>
              <w:ind w:left="26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080" w:type="dxa"/>
            <w:vAlign w:val="bottom"/>
          </w:tcPr>
          <w:p>
            <w:pPr>
              <w:jc w:val="center"/>
              <w:ind w:left="26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96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24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960" w:type="dxa"/>
            <w:vAlign w:val="bottom"/>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$11.40 - $50.00</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83,561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38.33</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36.40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$64.20 - $87.20</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15,165</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64.45</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3.87</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64.45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34"/>
        </w:trPr>
        <w:tc>
          <w:tcPr>
            <w:tcW w:w="2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98,726</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42.34</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4.87</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41.29</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of exercised stock options is calculated based on the difference between the exercise price and the quoted market price of the Company's Common Stock as of the close of the exercise date. The aggregate intrinsic value for options exercised, exercisable, and outstanding was zero under the Company's stock plans for the years ended December 31, 2025, 2024 and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related to outstanding, but not yet exercisable, options is $0.1 million, which the Company expects to recognize over a weighted-average vesting period of approximately 0.6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stock awards are comprised of RSUs, including time-based, performance-based and market-based RSUs.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Company's Compensation Committee (or Board of Directors, as applicable) approved and awarded 147,285 time-based RSUs (of which 52,285 RSUs related to the settlement of an accrued 2024 annual incentive plan liability and vested immediately) under the 2018 Plan to employees and directors of the Company.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Company's Compensation Committee (or Board of Directors, as applicable) approved and awarded 229,795 time-based RSUs (of which 119,720 RSUs related to the settlement of an accrued 2023 annual incentive plan liability and vested immediately) under the 2018 Plan to employees and directors of the Company.</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Company's Compensation Committee (or Board of Directors, as applicable) approved and awarded 234,171 time-based RSUs (of which 136,525 RSUs related to the settlement of an accrued 2022 annual incentive plan liability and vested immediately) under the 2018 Plan and the 2013 Plan to employees and directors of the Company.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market-based RSUs were awarded during the years ended December 31, 2025, 2024, and 2023. Market-based RSUs awarded in previous years vest over 10 years and are contingent on certain stock-price hurdles.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stock awards granted, vested and forfeited during the years ended December 31, 2025, 2024 and 2023 is presented as follows. RSU awards with undelivered shares are classified as unvested until the date of delivery of the shares.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12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3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8"/>
        </w:trPr>
        <w:tc>
          <w:tcPr>
            <w:tcW w:w="832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7"/>
                <w:szCs w:val="17"/>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232,230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for all unvested RSUs outstanding was $2.5 million, $2.2 million, and $5.2 million as of December 31, 2025, 2024, and 2023, respectively.</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RSUs was $0.4 million, which the Company expects to recognize over a weighted-average vesting period of approximately 3.6 years.</w:t>
      </w:r>
    </w:p>
    <w:p>
      <w:pPr>
        <w:spacing w:after="0" w:line="15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the Credit Agreement among the Company as borrower, certain of its subsidiaries as guarantors, Blue Torch Finance LLC as administrative agent and collateral agent (in such capacities, the "Agent"), and the lenders from time to time party thereto. The Credit Agreement has a term of four years and matures in December 2028.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provides a borrowing capacity of $60.0 million consisting of a $45.0 million term loan that was fully funded at closing (the "Term Loan") and a $15.0 million revolving credit facility that was unfunded at closing (the "Revolving Facility").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are made at the Adjusted Term SOFR rate or the Reference Rate (each as defined in the Credit Agreement) and bear interest at a rate per annum equal to (i) the Adjusted Term SOFR rate, subject to a 3.0% floor, plus an applicable margin of 7.0% or (ii) the Reference Rate, subject to a 4.0% floor, plus an applicable margin of 6.0%. The Credit Agreement also provides for an unused commitment fee equal to 1.0% per annum of the unused Revolving Facility commitments. To the extent that an event of default exists and is continuing, at the election of the Agent, all amounts outstanding under the Credit Agreement will bear interest at 2.0% per annum above the rate and margin otherwise applicable thereto. The Company elected the Adjusted Term SOFR rate for the Term Loan as of December 31, 2024 and has not subsequently changed its election. As of December 31, 2025, the stated interest rate on the Term Loan was 10.93%.</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described below, the Company can repay any amounts borrowed under the Revolving Facility prior to the maturity date without any premium or penalty other than customary SOFR breakage costs. Any voluntary or mandatory prepayments of the Term Loan (subject to customary exceptions for prepayments made with Excess Cash Flow (as defined in the Credit Agreement), the net cash proceeds of insurance and condemnation events, and the replacement of certain lenders in accordance with the Credit Agreement), as well as any payments of the Revolving Facility or the Term Loan in connection with an insolvency event, acceleration, other exercise of remedies or the early termination of the Credit Agreement, are subject to prepayment premiums as follows: (i) with respect to any such payment occurring on or before the first anniversary of the closing date, a 3.0% prepayment premium plus a make-whole amount based on U.S. Treasury notes yield, (ii) with respect to any such payment occurring after the first anniversary and on or before the second anniversary of the closing date, a 1.0% prepayment premium, and (iii) with respect to any such payment occurring after the second anniversary of the closing date, no prepayment premium.</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loans are required to be prepaid from time to time with the net cash proceeds of certain debt incurrences, equity issuances, asset sales and other dispositions, insurance and condemnation proceeds, tax refunds and other extraordinary receipts (subject to certain thresholds, exceptions and reinvestment rights). Additionally, beginning with the fiscal year ending December 31, 2025, the Company is required to prepay the loans annually with Excess Cash Flow at the following percentages: (i) if the Total Leverage Ratio (as defined in the Credit Agreement) is greater than 2.25:1.00, 75% of Excess Cash Flow,</w:t>
      </w:r>
    </w:p>
    <w:p>
      <w:pPr>
        <w:spacing w:after="0" w:line="3" w:lineRule="exact"/>
        <w:rPr>
          <w:sz w:val="20"/>
          <w:szCs w:val="20"/>
          <w:color w:val="auto"/>
        </w:rPr>
      </w:pPr>
    </w:p>
    <w:p>
      <w:pPr>
        <w:jc w:val="both"/>
        <w:ind w:firstLine="8"/>
        <w:spacing w:after="0" w:line="255" w:lineRule="auto"/>
        <w:tabs>
          <w:tab w:leader="none" w:pos="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Leverage Ratio is equal to or less than 2.25:1.00 but greater than 1.75:1.00, 50% of Excess Cash Flow, (iii) if the Total Leverage Ratio is equal to or less than 1.75:1.00 but greater than 1.25:1.00, 25% of Excess Cash Flow, and (iv) if the Total Leverage Ratio is equal to or less than 1.25:1.00, 0% of Excess Cash Flow.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also contains the following financial covenants:</w:t>
      </w:r>
    </w:p>
    <w:p>
      <w:pPr>
        <w:spacing w:after="0" w:line="90" w:lineRule="exact"/>
        <w:rPr>
          <w:sz w:val="20"/>
          <w:szCs w:val="20"/>
          <w:color w:val="auto"/>
        </w:rPr>
      </w:pPr>
    </w:p>
    <w:p>
      <w:pPr>
        <w:ind w:left="660" w:hanging="328"/>
        <w:spacing w:after="0" w:line="28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Senior Leverage Ratio (as defined in the Credit Agreement) for the most recently ended four fiscal quarter period, not to exceed the level set forth in the Credit Agreement for the last day of such period, starting with the fiscal quarter ending March 31, 2025;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Credit Agreement) of $10.0 million at all times.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Credit Agreement contains restrictive covenants that limit the Company's ability to, among other things, incur additional indebtedness and liens, make investments and loans, enter into mergers and acquisitions, make or declare dividends and other payments, enter into certain contracts, sell assets and engage in transactions with affiliates. The Company was in compliance with the covenants under the Credit Agreement as of December 31, 2025.</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2025, in connection with the execution of the Exchange Agreements, the Company entered into the Amendment to the Credit Agreement to permit the Exchange and the issuance of Preferred Stock in connection with the Exchange. The Amendment became effective on December 29, 2025.</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is subject to customary events of default, including a change in control. If an event of default occurs and is continuing, the Agent or the Required Lenders (as defined in the Credit Agreement) may accelerate any amounts outstanding and terminate lender commitments. The Credit Agreement is guaranteed by the Company and certain of its domestic subsidiaries and is secured by a first lien security interest in substantially all assets of the Company and such subsidiaries, as set forth in a pledge and security agreement dated December 31, 2024 among the Company, the guarantor subsidiaries and the Agent.</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is recorded on the Consolidated Balance Sheets, net of debt issuance costs and debt discount. The debt issuance costs and debt discount associated with the Term Loan were capitalized and will be amortized through interest expense, net on the Consolidated Statements of Operations and Comprehensive Loss during the term of the Term Loan. As of December 31, 2024 (the date the Company entered into the Credit Agreement), the effective interest rate calculated to amortize these costs was 14.54%.</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was evaluated for embedded derivative features by evaluating each feature against the nature of the host instrument. Features identified as embedded derivatives that are material are recognized separately as a derivative asset or liability in the financial statements. No embedded features were identified requiring bifurcation, other than the change of control feature. The Company reassesses whether a change in control is considered probable as of each reporting date. The change in control feature is not recorded on the Consolidated Balance Sheet as of December 31, 2025 because a change in control is not considered probable.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debt obligations under the Credit Agreement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Secured term loan</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13"/>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Principal payments</w:t>
            </w:r>
          </w:p>
        </w:tc>
        <w:tc>
          <w:tcPr>
            <w:tcW w:w="5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41,547</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41,168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firstLine="8"/>
        <w:spacing w:after="0" w:line="228" w:lineRule="auto"/>
        <w:tabs>
          <w:tab w:leader="none" w:pos="149"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current portion of the Term Loan as of December 31, 2025 and 2024 was $2.3 million and $0.5 million, respectively, and was classified within other current liabilities in the Consolidated Balance Sheets.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summarizes the required future principal payments on the Term Loan, by year, as of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9080" w:type="dxa"/>
            <w:vAlign w:val="bottom"/>
            <w:shd w:val="clear" w:color="auto" w:fill="CCEEFF"/>
          </w:tcPr>
          <w:p>
            <w:pPr>
              <w:jc w:val="right"/>
              <w:ind w:right="8439"/>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3"/>
        </w:trPr>
        <w:tc>
          <w:tcPr>
            <w:tcW w:w="9080" w:type="dxa"/>
            <w:vAlign w:val="bottom"/>
          </w:tcPr>
          <w:p>
            <w:pPr>
              <w:jc w:val="right"/>
              <w:ind w:right="8439"/>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6"/>
        </w:trPr>
        <w:tc>
          <w:tcPr>
            <w:tcW w:w="9080" w:type="dxa"/>
            <w:vAlign w:val="bottom"/>
            <w:shd w:val="clear" w:color="auto" w:fill="CCEEFF"/>
          </w:tcPr>
          <w:p>
            <w:pPr>
              <w:jc w:val="right"/>
              <w:ind w:right="8439"/>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40,050</w:t>
            </w:r>
          </w:p>
        </w:tc>
      </w:tr>
      <w:tr>
        <w:trPr>
          <w:trHeight w:val="212"/>
        </w:trPr>
        <w:tc>
          <w:tcPr>
            <w:tcW w:w="9080" w:type="dxa"/>
            <w:vAlign w:val="bottom"/>
          </w:tcPr>
          <w:p>
            <w:pPr>
              <w:jc w:val="right"/>
              <w:ind w:right="8639"/>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44,550</w:t>
            </w:r>
          </w:p>
        </w:tc>
      </w:tr>
      <w:tr>
        <w:trPr>
          <w:trHeight w:val="20"/>
        </w:trPr>
        <w:tc>
          <w:tcPr>
            <w:tcW w:w="9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issuance costs associated with the Revolving Facility are capitalized and recorded in other non-current assets in the Consolidated 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no borrowings outstanding under the Revolving Facility, with remaining borrowing capacity of $15.0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Agreement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2021, the Company entered into a senior secured revolving credit agreement (the "Prior Credit Agreement") among the Company, as borrower, certain subsidiaries of the Company, as guarantors, Bank of America N.A., as administrative agent (in such capacity, the "Agent"), and the lenders from time to time party thereto.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Prior Credit Agreement had an original borrowing capacity equal to $25.0 million and bore interest on borrowings at a Eurodollar Rate (as defined in the Prior Credit Agreement) that was based on LIBOR. The Company could also request the issuance of letters of credit under the Prior Credit Agreement in an aggregate amount up to $5.0 million, which would reduce the amount of available borrowings by the amount of such issued and outstanding letters of credit. The facility originally had a maturity of three years from the closing date of the agreement.</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2022, the Company entered into an amendment (the "2022 Amendment") to the Prior Credit Agreement to expand its aggregate borrowing capacity from $25.0 million to $40.0 million. The 2022 Amendment also replaced the Eurodollar Rate with a SOFR-based interest rate and modified the Applicable Rate definition in the Prior Credit Agreement to increase the Applicable Rate payable on SOFR-based loans to 2.50%. Finally, the 2022 Amendment modified certain financial covenants under the Prior Credit Agreement.</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2023, the Company entered into an additional amendment (the "2023 Amendment") to the Prior Credit Agreement. Among other things, the 2023 Amendment (i) increased the minimum Consolidated EBITDA and Consolidated Asset Coverage Ratio financial covenant requirements under the Prior Credit Agreement, (ii) modified the measurement periods for certain financial covenants contained in the Prior Credit Agreement, (iii) introduced a minimum liquidity covenant, and (iv) modified the Applicable Rate definition in the Prior Credit Agreement to increase the Applicable Rate payable on SOFR-based loans to 3.50%.</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entered into a third amendment (the "May 2024 Amendment") to the Prior Credit Agreement. Among other things, the May 2024 Amendment (i) extended the maturity date of the facility from May 5, 2024 to November 5, 2024; (ii) reduced the Company's aggregate borrowing capacity under the facility from $40.0 million to $25.0 million; (iii) increased the Applicable Rate payable on SOFR-based loans to 4.50%; (iv) increased the minimum Consolidated Asset Coverage Ratio covenant and decreased the minimum liquidity covenant; (v) limited certain Restricted Payments (as defined in the Prior Credit Agreement) with respect to the Company's equity interests; (vi) required a repayment of $6.0 million to reduce the principal amount outstanding under the Prior Credit Agreement; (vii) updated certain defined terms in the Prior Credit Agreement to reflect the May 2023 transfer of shares of Preferred Stock from Qurate to Liberty; and (viii) provided for certain amendment fees, including a fee of 2.0% of aggregate commitments due on the maturity date (November 5, 2024) unless all obligations were paid in full prior to such date.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2024, the Company repaid the outstanding principal balance of $10.0 million under the Prior Credit Agreement. On November 5, 2024, the Company entered into a fourth amendment (the "November 2024 Amendment") to the Prior Credit Agreement to extend the maturity date with respect to the outstanding letters of credit under the facility to January 31, 2025. The November 2024 Amendment reduced the aggregate lender commitments under the Prior Credit Agreement to equal the outstanding letters of credit (totaling $3.2 million) and limited the purpose of, and use of proceeds under, the Prior Credit Agreement to the issuance of letters of credit.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November 2024 Amendment terminated the following financial covenants: (i) the minimum Consolidated Fixed Charge Coverage Ratio,</w:t>
      </w:r>
    </w:p>
    <w:p>
      <w:pPr>
        <w:spacing w:after="0" w:line="27" w:lineRule="exact"/>
        <w:rPr>
          <w:sz w:val="20"/>
          <w:szCs w:val="20"/>
          <w:color w:val="auto"/>
        </w:rPr>
      </w:pPr>
    </w:p>
    <w:p>
      <w:pPr>
        <w:jc w:val="both"/>
        <w:ind w:firstLine="8"/>
        <w:spacing w:after="0" w:line="253" w:lineRule="auto"/>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Consolidated Asset Coverage Ratio, and (iii) the minimum Liquidity requirement, each as defined in the Prior Credit Agreement. The November 2024 Amendment maintained the same non-financial covenants, security interest and interest rate as in effect immediately prior to the November 2024 Amendment. Finally, the November 2024 Amendment provided for certain amendment fees, including a fee of $250,000 due on the new maturity date (January 31, 2025) unless all letters of credit were terminated or cash collateralized on or prior to such date.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Credit Agreement contained restrictive covenants that limited the Company's ability to, among other things, incur additional indebtedness or liens, make investments and loans, enter into mergers and acquisitions, make or declare dividends and other payments, enter into certain contracts, sell assets and engage in transactions with affiliates. The Prior Credit Agreement was also subject to customary events of default, including a change in control.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Credit Agreement was guaranteed by the Company and its domestic subsidiaries (other than Excluded Subsidiaries (as defined in the Prior Credit Agreement)) and was secured by a first lien security interest in substantially all assets of the Company and its domestic subsidiaries (other than Excluded Subsidiaries), subject to certain customary exclusions.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Company terminated the Prior Credit Agreement. The Company used a portion of proceeds from the Term Loan to cash collateralize certain letters of credit that were outstanding under the Prior Credit Agreement. The Company had no borrowings outstanding under the Prior Credit Agreement on the termination date, and no early termination penalties were incurred by the Company in connection with the termination.</w:t>
      </w:r>
    </w:p>
    <w:p>
      <w:pPr>
        <w:spacing w:after="0" w:line="172"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financial instruments measured at fair value on a recurring basis as of December 31, 2025. As of December 31, 2024, the Company's financial instruments measured at fair value in its Consolidated Balance Sheets on a recurring basis consisted of the following:</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Contingent consideration liability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1,191</w:t>
            </w:r>
          </w:p>
        </w:tc>
        <w:tc>
          <w:tcPr>
            <w:tcW w:w="0" w:type="dxa"/>
            <w:vAlign w:val="bottom"/>
          </w:tcPr>
          <w:p>
            <w:pPr>
              <w:spacing w:after="0"/>
              <w:rPr>
                <w:sz w:val="1"/>
                <w:szCs w:val="1"/>
                <w:color w:val="auto"/>
              </w:rPr>
            </w:pPr>
          </w:p>
        </w:tc>
      </w:tr>
    </w:tbl>
    <w:p>
      <w:pPr>
        <w:jc w:val="both"/>
        <w:ind w:firstLine="8"/>
        <w:spacing w:after="0" w:line="273" w:lineRule="auto"/>
        <w:tabs>
          <w:tab w:leader="none" w:pos="162"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contingent consideration was recognized as part of the 2021 Shareablee acquisition. In April 2022, the contingency was resolved and the full amount was deemed payable. Refer to </w:t>
      </w:r>
      <w:r>
        <w:rPr>
          <w:rFonts w:ascii="Times New Roman" w:cs="Times New Roman" w:eastAsia="Times New Roman" w:hAnsi="Times New Roman"/>
          <w:sz w:val="14"/>
          <w:szCs w:val="14"/>
          <w:u w:val="single" w:color="auto"/>
          <w:color w:val="0000FF"/>
        </w:rPr>
        <w:t>Footnote 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color w:val="000000"/>
        </w:rPr>
        <w:t>Summary of Significant Accounting Policies.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December 2024, the Company elected to settle the third and final installment in cash, which was paid in the first quarter of 2025. The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fair value of this liability as of December 31, 2024 was equal to the payment due. The contingent consideration liability was classified within other current liabilities in the Consolidated Balance Sheets as of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Company's valuation techniques or methodologies during the year ended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recurring Level 3 fair value measurements for the year ended December 31, 2024:</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Warrants Liability</w:t>
            </w:r>
          </w:p>
        </w:tc>
      </w:tr>
      <w:tr>
        <w:trPr>
          <w:trHeight w:val="23"/>
        </w:trPr>
        <w:tc>
          <w:tcPr>
            <w:tcW w:w="9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669</w:t>
            </w:r>
          </w:p>
        </w:tc>
      </w:tr>
      <w:tr>
        <w:trPr>
          <w:trHeight w:val="257"/>
        </w:trPr>
        <w:tc>
          <w:tcPr>
            <w:tcW w:w="9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Total gain recognized due to remeasurement and expiration of warrants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firstLine="8"/>
        <w:spacing w:after="0" w:line="237" w:lineRule="auto"/>
        <w:tabs>
          <w:tab w:leader="none" w:pos="152"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gain due to remeasurement and expiration of warrants was recorded in other income, net, in the Consolidated Statements of Operations and Comprehensive Loss. The Series A Warrants expired unexercised on June 26,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Nonrecurring Basis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the year ended December 31, 2025, the Company recorded the initial fair value of Preferred Stock, net of issuance costs, of $89.7 million within mezzanine equity.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 for further details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initial measurement of the Preferred Stock is classified as a non-recurring Level 3 fair value assessment due to the significance of unobservable inputs developed in the determination of the fair value. The Company used a binomial lattice model to determine the fair value of the Preferred Stock at the Closing Date. The Company used significant inputs and assumptions which included the price and expected volatility of the Common Stock, risk-adjusted discount rate, risk-free-rate and expected term as of the Closing Date. The initial fair value of the Exchange Common Stock was $66.6 million, of which the Company recorded the par value of $9.9 thousand within permanent equity and the remaining $65.5 million within additional paid-in capital, net of the issuance costs. The initial measurement of the Exchange Common Stock is classified as a non-recurring Level 1 fair value assessment as the Company used the closing market price of Common Stock to determine the fair value on the Closing Date.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recorded the additional shares of Series B Preferred Stock of $19.6 million within mezzanine equity and $13.0 million within additional paid-in capital, which was based on the calculated fair value net of issuance costs.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Preferred Stock and Stockholders' Equity (Deficit)</w:t>
      </w:r>
      <w:r>
        <w:rPr>
          <w:rFonts w:ascii="Times New Roman" w:cs="Times New Roman" w:eastAsia="Times New Roman" w:hAnsi="Times New Roman"/>
          <w:sz w:val="18"/>
          <w:szCs w:val="18"/>
          <w:color w:val="auto"/>
        </w:rPr>
        <w:t>, for further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measurement of the additional shares of Series B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was classified as a non-recurring Level 3 fair value assessment due to the significance of unobservable inputs developed in the determination of the fair value. The Company used a binomial lattice model to determine the fair value of the additional Series B Preferred Stock at the 2024 Issuance Date. The Company used significant inputs and assumptions which included the price and expected volatility of the Common Stock, risk-adjusted discount rate, risk-free rate, expected term, deferred dividends and the timing and probability of a special dividend being called and paid as of the 2024 Issuance Date.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the Company recorded goodwill impairment charges of $63.0 million and $78.2 million, respectively. Refer to </w:t>
      </w:r>
      <w:r>
        <w:rPr>
          <w:rFonts w:ascii="Times New Roman" w:cs="Times New Roman" w:eastAsia="Times New Roman" w:hAnsi="Times New Roman"/>
          <w:sz w:val="18"/>
          <w:szCs w:val="18"/>
          <w:u w:val="single" w:color="auto"/>
          <w:color w:val="0000FF"/>
        </w:rPr>
        <w:t>Footnote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details. The remeasurement of goodwill is classified as a non-recurring Level 3 fair value assessment due to the significance of unobservable inputs developed in the determination of the fair value. The Company used a discounted cash flow model to determine the estimated fair value of the reporting unit. The Company made estimates and assumptions regarding future cash flows, discount rates, long-term growth rates and market values to determine the reporting unit's estimated fair value. It is possible that future changes in such circumstances, or in the variables associated with the judgments, assumptions and estimates used in assessing the fair value of the reporting unit, would require the Company to record additional non-cash impairment charges.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Computer equipment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140,459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Leasehold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14,656</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Computer software (including software license arrangements of $1,365 in 2025 and 2024)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20,974</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Office equipment, furniture, and 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234,095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226,301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 (including software license arrangements of $1,365 in 2025 and 2024)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(190,381)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(179,185)</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depreciation expense was $23.7 million, $22.1 million and $19.8 million, respectively. In addition, amortization expense from finance leases was $3.7 million, $3.7 million and $1.9 million for the years ended December 31, 2025, 2024, and 2023,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property and equipment, net, 99% was located in the United States as of December 31,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finance leases for computer equipment and operating leases for real estate. These leases have remaining lease terms of less than one year to five years, some of which include options to extend the leases for up to five years, and some of which include options to terminate the leases within four years. As of December 31, 2025, the weighted average remaining lease term for the Company's finance leases and operating leases was 1.5 years and 1.8 years, respectively. As of December 31, 2025, the weighted average discount rate for the Company's finance leases and operating leases was 9.4% and 10.5%,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cost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lease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4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lease cost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Sublease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net of sublease income, are reflected in the Consolidated Statements of Operations and Comprehensive Loss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6"/>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of right-of-use assets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amortization of right-of-use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2025 were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24"/>
                <w:szCs w:val="24"/>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2030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imputed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20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non-current lease liabilities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0" w:type="dxa"/>
            <w:vAlign w:val="bottom"/>
          </w:tcPr>
          <w:p>
            <w:pPr>
              <w:spacing w:after="0"/>
              <w:rPr>
                <w:sz w:val="1"/>
                <w:szCs w:val="1"/>
                <w:color w:val="auto"/>
              </w:rPr>
            </w:pPr>
          </w:p>
        </w:tc>
      </w:tr>
      <w:tr>
        <w:trPr>
          <w:trHeight w:val="26"/>
        </w:trPr>
        <w:tc>
          <w:tcPr>
            <w:tcW w:w="68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6"/>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three subleases. The subleases are non-cancelable, have remaining lease terms of less than two years and do not contain any options to renew or terminate the sublease agreement. Future expected cash receipts from these subleases as of December 31, 2025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Sublease Receipts</w:t>
            </w:r>
          </w:p>
        </w:tc>
      </w:tr>
      <w:tr>
        <w:trPr>
          <w:trHeight w:val="23"/>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2028 and thereafter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expected sublease receipts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w:t>
            </w:r>
          </w:p>
        </w:tc>
      </w:tr>
      <w:tr>
        <w:trPr>
          <w:trHeight w:val="23"/>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as of October 1, or more frequently when events or changes in circumstances indicate that fair value is below carrying value. The Company completed its annual assessment as of October 1, 2025, and concluded that there was no impairment of goodwill as of the assessment date.</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concluded that it was more likely than not that the estimated fair value of its reporting unit was less than its carrying value. In its assessment, the Company considered the decline in the Company's stock price, market and equity capitalization, operating results and projections. The fair value of the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$63.0 million impairment charge during the three months ended September 30, 2024.</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its annual test as of October 1, 2023, the Company performed a quantitative goodwill impairment test as of September 30, 2023. In its assessment, the Company considered the decline in revenues in 2023 which drove lower revenue growth expectations in future years. The Company also considered the decline in the Company's stock price and market capitalization. The fair value of the reporting unit was determined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$34.1 million impairment charge during the three months ended December 31, 2023.</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2023, the Company concluded that it was more likely than not that the estimated fair value of its reporting unit was less than its carrying value. In its assessment, the Company considered the decline in the Company's stock price and market capitalization, among other factors. The Company performed quantitative testing on its reporting unit using a discounted cash flow model (a form of the income approach) utilizing Level 3 unobservable inputs, supported by a market approach. The Company relied in part on the work of an independent valuation firm engaged by the Company to provide inputs as to the fair value of the reporting unit and to assist in the related calculations and analysis. The Company's reporting unit did not pass the goodwill impairment test, and as a result the Company recorded a $44.1 million impairment charge during the three months ended June 30,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value of goodwill is as follows:</w:t>
      </w:r>
    </w:p>
    <w:p>
      <w:pPr>
        <w:spacing w:after="0" w:line="136"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Balance as of December 31, 2023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Impairment charge</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p>
      <w:pPr>
        <w:ind w:left="180" w:hanging="154"/>
        <w:spacing w:after="0" w:line="232" w:lineRule="auto"/>
        <w:tabs>
          <w:tab w:leader="none" w:pos="18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Goodwill balance is net of an accumulated impairment charge of $348.8 million as of December 31, 2023.</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00" w:hanging="800"/>
        <w:spacing w:after="0"/>
        <w:tabs>
          <w:tab w:leader="none" w:pos="8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310,360</w:t>
      </w:r>
    </w:p>
    <w:p>
      <w:pPr>
        <w:spacing w:after="0" w:line="32"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(63,000)</w:t>
      </w:r>
    </w:p>
    <w:p>
      <w:pPr>
        <w:spacing w:after="0" w:line="32"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00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6" w:lineRule="exact"/>
        <w:rPr>
          <w:sz w:val="20"/>
          <w:szCs w:val="20"/>
          <w:color w:val="auto"/>
        </w:rPr>
      </w:pPr>
    </w:p>
    <w:p>
      <w:pPr>
        <w:ind w:left="800" w:hanging="800"/>
        <w:spacing w:after="0"/>
        <w:tabs>
          <w:tab w:leader="none" w:pos="8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246,010</w:t>
      </w:r>
    </w:p>
    <w:p>
      <w:pPr>
        <w:spacing w:after="0" w:line="32"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004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6" w:lineRule="exact"/>
        <w:rPr>
          <w:sz w:val="20"/>
          <w:szCs w:val="20"/>
          <w:color w:val="auto"/>
        </w:rPr>
      </w:pPr>
    </w:p>
    <w:p>
      <w:pPr>
        <w:ind w:left="800" w:hanging="800"/>
        <w:spacing w:after="0"/>
        <w:tabs>
          <w:tab w:leader="none" w:pos="8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248,636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9004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9004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9120" w:space="720"/>
            <w:col w:w="1400"/>
          </w:cols>
          <w:pgMar w:left="320" w:top="121" w:right="339"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definite-lived intangible assets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60" w:type="dxa"/>
            <w:vAlign w:val="bottom"/>
          </w:tcPr>
          <w:p>
            <w:pPr>
              <w:jc w:val="center"/>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6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47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46,666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Acquired software</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Panel</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(227,193)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229,499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(224,441)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$2.5 million, $3.1 million, and $5.2 million for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definite-lived intangible assets, net, all were generated by or located in the United States as of December 31,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amortization period by major asset class as of December 31, 2025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methodologies and technology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16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397"/>
        </w:trPr>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expects to recognize the estimated future amortization expense of $2.5 million during the year ending December 31, 2026.</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8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data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Payroll and payroll-related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accrual</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expenses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44,879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certain long-term contractual arrangements that have fixed and determinable payment obligations including unconditional purchase obligations with MVPDs and other providers for set-top box and connected (Smart) television data. These agreements have remaining terms from less than one year to five years. As of December 31, 2025, the total fixed payment obligations related to set-top box and connected television data agreements are $98.5 million and $22.7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below summarizes the contractual obligations, by year, as of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48,371</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27,973</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r>
      <w:tr>
        <w:trPr>
          <w:trHeight w:val="213"/>
        </w:trPr>
        <w:tc>
          <w:tcPr>
            <w:tcW w:w="9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14,115</w:t>
            </w:r>
          </w:p>
        </w:tc>
      </w:tr>
      <w:tr>
        <w:trPr>
          <w:trHeight w:val="219"/>
        </w:trPr>
        <w:tc>
          <w:tcPr>
            <w:tcW w:w="9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23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expects to make variable payments related to a set-top box data agreement totaling an estimated $86.0 million over the next six years.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proceedings from time to time. The Company establishes reserves for specific legal proceedings when management determines that the likelihood of an unfavorable outcome is probable, and the amount of loss can be reasonably estimated. The Company has also identified certain other legal matters where an unfavorable outcome is reasonably possible and/or for which no estimate of possible losses can be made. In these cases, the Company does not establish a reserve until it can reasonably estimate the loss. Legal fees related to contingencies are expensed as incurred. The outcomes of legal proceedings are inherently unpredictable, subject to significant uncertainties, and could be material to the Company's operating results and cash flows for a particular period.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Litigation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a purported class action complaint was filed against the Company in the U.S. District Court for the Central District of California (Singer et al. v. Comscore, Inc. et al., No. 2:26-cv-01108 (C.D. Cal.)) alleging violations of various California laws and the federal Electronic Communications Privacy Act, as well as certain common-law claims, in connection with the Company's alleged collection of internet data from California residents. Among other things, the plaintiffs seek certification as a class, injunctive relief, statutory damages, disgorgement of profits, punitive damages, costs and attorneys' fees. Although the Company believes it has meritorious defenses to these claims, the Company cannot reasonably estimate the outcome of this matter or the potential liability, if any, that may be incurred in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Sales Tax Audit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Company received an initial audit assessment from the State of Washington Department of Revenue related to an audit of potential sales tax liabilities in Washington for fiscal years 2020 through 2023. The aggregate assessment calculated by the Department of Revenue, including alleged penalties and interest, was approximately $8.0 million. The Company has petitioned for review of the audit assessment and believes it has a strong position that its activities are not taxable under the applicable terms of Washington law. As of December 31, 2025, the Company cannot reasonably estimate the outcome of the review and the potential liability, if any, that may be incurred in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and may become, a party to a variety of legal proceedings from time to time that arise in the normal course of the Company's business. While the results of such legal proceedings cannot be predicted with certainty, management believes that, based on current knowledge, the final outcome of any such current pending matters will not have a material adverse effect on the Company's financial position, results of operations or cash flows. Regardless of the outcome, legal proceedings can have an adverse effect on the Company because of defense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the Company's directors and certain officers, and the Company's amended and restated certificate of incorporation requires it to indemnify each of its directors and officers, to the fullest extent permitted by Delaware law, who was or is a party or is threatened to be made a party to any threatened, pending or completed action, suit or proceeding by reason of the fact that he or she is or was a director or officer of the Company. The Company has paid and may in the future pay legal counsel fees incurred by current and former directors and officers who are involved in legal proceedings that require indemnification.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certain of the Company's commercial contracts require it to indemnify contract counterparties under specified circumstances, and the Company may incur legal counsel fees and other costs in connection with these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 provision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Domestic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(79,078)</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U.S. income tax rate to the effective income tax rate for the year ended December 31, 2025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3"/>
        </w:trPr>
        <w:tc>
          <w:tcPr>
            <w:tcW w:w="8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82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82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State taxes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6"/>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Brazil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GAAP to statutory adjustment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Chile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Deductible inflation adjustment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tax credit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FX revaluation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GAAP to statutory adjustment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India</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GAAP to statutory adjustment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Miscellaneous non deductible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Netherlands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FX revaluation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Withholding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Norway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FX revaluation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4"/>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Effect of cross-border tax laws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Global intangible low-taxed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Subpart F income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 credits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nondeductible/nontaxable items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NOL adjustments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Worldwide changes in unrecognized tax benefits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0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3810</wp:posOffset>
            </wp:positionV>
            <wp:extent cx="1920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 w:lineRule="exact"/>
        <w:rPr>
          <w:sz w:val="20"/>
          <w:szCs w:val="20"/>
          <w:color w:val="auto"/>
        </w:rPr>
      </w:pPr>
    </w:p>
    <w:p>
      <w:pPr>
        <w:ind w:left="160" w:hanging="134"/>
        <w:spacing w:after="0"/>
        <w:tabs>
          <w:tab w:leader="none" w:pos="16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State taxes in Virginia and California comprised greater than 50%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-86995</wp:posOffset>
            </wp:positionV>
            <wp:extent cx="1920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U.S. income tax rate to the effective income tax rate for the years ended December 31, 2024 and 2023 is as follows:</w:t>
      </w:r>
    </w:p>
    <w:p>
      <w:pPr>
        <w:spacing w:after="0" w:line="12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9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State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9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nondeductible/nontaxable items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9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Foreign rate differences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9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9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Stock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9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impairment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9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Other adjustments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9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Uncertain tax positions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9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
        </w:trPr>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income tax expense of $1.9 million during the year ended December 31, 2025, which is comprised of current tax expense of $1.1 million primarily related to foreign taxes and deferred tax expense of $0.8 million primarily related to U.S. federal and state taxes. Included in total tax expense is income tax benefit of $8.0 million for a decrease in the valuation allowance recorded against the Company's deferred tax assets to offset the tax expense of the Company's operating losses in the U.S. and certain foreign jurisdictions. Income tax expense of $2.4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income tax expense of $0.9 million during the year ended December 31, 2024, which is comprised of current tax expense of $1.8 million related to foreign taxes and state taxes and deferred tax benefit of $0.8 million related to both U.S. and foreign taxes. Included in tax expense is an income tax adjustment of $17.2 million related to the impairment of goodwill. Also included in total tax expense is income tax benefit of $2.5 million for a decrease in the valuation allowance recorded against the Company's deferred tax assets to offset the tax expense of the Company's operating losses in the U.S. and certain foreign jurisdictions. Income tax expense of $0.9 million has also been included for permanent differences in the book and tax treatment of certain stock-based compensation, local statutory to U.S. GAAP adjustments and other nondeductible expenses. These tax adjustments, along with state and local taxes, are the primary drivers of the annual effective income tax rate.</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income tax expense of $1.5 million during the year ended December 31, 2023, which is primarily comprised of current tax expense of $1.6 million related to foreign taxes and state taxes. Included in tax expense is an income tax adjustment of $20.9 million related to the impairment of goodwill. Also included in total tax expense is income tax expense of $15.1 million for an increase in the valuation allowance recorded against the Company's deferred tax assets to offset the tax benefit of the Company's operating losses in the U.S. Income tax expense of $0.7 million has also been included for permanent differences in the book and tax treatment of certain stock-based compensation, executive compensation and other nondeductible expenses. These tax adjustments, along with state and local taxes, are the primary drivers of the annual effective income tax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reporting purposes. The components of net deferred income taxes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177,984</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contingencies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loss carryforwards</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research and development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 163(j) interest limitation carryforward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248,160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256,154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(239,900)</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(247,772)</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asset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Subpart F income recapture</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cash tax payments, net of (refunds) received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federal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9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state and local</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Brazil</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Canada</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9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Chile</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India</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3"/>
        </w:trPr>
        <w:tc>
          <w:tcPr>
            <w:tcW w:w="9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Netherlands</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9"/>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Sweden</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9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United Kingdom</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1"/>
        </w:trPr>
        <w:tc>
          <w:tcPr>
            <w:tcW w:w="9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Company had a valuation allowance of $239.9 million and $247.8 million, respectively, against certain deferred tax assets. The valuation allowance relates to the deferred tax assets of the Company's U.S. entities, including federal and state tax attributes and timing differences, as well as the deferred tax assets of certain foreign subsidiaries. The decrease in the valuation allowance during 2025 is primarily due to the decrease in U.S. deferred revenue, lease liability and property and equipment, net of the increase in U.S. net operating loss carryforwards and Sec. 163(j) interest limitation carryforward. To the extent the Company determines that, based on the weight of available evidence, all or a portion of its valuation allowance is no longer necessary, the Company will recognize an income tax benefit in the period such determination is made for the reversal of the valuation allowance. If management determines that, based on the weight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 evidence, it is more-likely-than-not that all or a portion of the net deferred tax assets will not be realized, the Company may recognize income tax expense in the period such determination is made to increase the valuation allowance. It is possible that such reduction of or addition to the Company's valuation allowance may have a material impact on the Company's results from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deferred tax asset valuation allowance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9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247,772</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251,253</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from continuing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Reductions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239,900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247,772</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Credit Carryforwards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During 2023, the Company concluded that the Transactions triggered an ownership change on May 10, 2021, and as a result, all of its U.S. net operating loss carryforwards are subject to an annual limitation under Section 382. Additionally, despite the net operating loss carryforwards, the Company may have a future income tax liability due to foreign income tax or state income tax requirements.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carryforwards for tax purposes of $572.6 million and $1.4 billion, respectively. The Company estimates that $469.8 million of its U.S. federal and $1.3 billion of its state net operating loss carryforwards are utilizable given the annual limitations under Section 382. The Company's net operating loss carryforwards began to expire in 2026 for federal and state income tax purposes. The federal and certain state net operating losses generated after December 31, 2017 have an indefinite carryforward period. As of December 31, 2025, the Company had an aggregate net operating loss carryforward for tax purposes related to its foreign subsidiaries of $5.6 million, which begins to expire in 2028.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research and development credit carryforwards of $3.0 million which begin to expire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Undistributed Earnings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certain foreign subsidiaries with accumulated undistributed earnings. The TCJA allows for a dividend received deduction resulting in no material U.S. federal income tax upon repatriation of these earnings. The Company intends to indefinitely reinvest these earnings, as well as future earnings from its foreign subsidiaries, to fund its international operations and therefore has not accrued any related foreign withholding taxes or state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 likely than not to be realized upon ultimate settlement in the financial statements. The Company has unrecognized tax benefits, which are tax benefits related to uncertain tax positions which have been or will be reflected in income tax filings that have not been recognized in the financial statements due to potential adjustments by taxing authorities in the applicable jurisdictions. The Company's liability for unrecognized tax benefits, which include interest and penalties, was $0.5 million and $0.8 million for the years ended December 31, 2025 and 2024, respectively. The remaining unrecognized tax benefits have reduced deferred tax balances. The amount of unrecognized tax benefits that, if recognized, would affect the Company's effective tax rate is $1.6 million, $1.8 million, and $2.0 million as of December 31, 2025, 2024, and 2023, respectively. The amount of unrecognized tax benefits includes the federal tax benefit of state deductions.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unrecognized income tax benefits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 related to tax positions of the current year</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Increase related to tax positions of prior years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Decrease related to tax positions of prior years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Decrease due to lapse in statutes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income tax expense. As of December 31, 2025 and 2024, accrued interest and penalties on unrecognized tax benefits were $0.1 million and $0.2 million, respectively. The Company or one of its subsidiaries files income tax returns in the U.S. federal jurisdiction, and various state and foreign jurisdictions. For income tax returns filed by</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the Company is generally no longer subject to U.S. federal examinations by tax authorities for years prior to 2022 or state and local tax examinations by tax authorities for years prior to 2021. The Company is no longer subject to examination by tax authorities in the Netherlands for years prior to 2018. However, tax attribute carryforwards may still be adjusted upon examination by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WPP</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Closing Date of the Recapitalization Transaction, WPP plc and its affiliates ("WPP") were no longer classified as a related party because their ownership of the Company's outstanding Common Stock fell below 5% due to the issuance of Exchange Common Stock on the Closing Date. However, during 2023, 2024, and 2025 until the Closing Date (based on public filings), WPP owned 565,968 shares of the Company's outstanding Common Stock, which represented more than 5% of the outstanding Common Stock during those periods. The amounts disclosed herein relate to transactions with WPP during the periods presented as they were a related party through the Closing Date. The Company provides WPP and its affiliates, in the normal course of business, services amongst its different products and receives various services from WPP supporting the Company's data collection efforts.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results from transactions with WPP, as reflected in the Consolidated Statements of Operations and Comprehensive Loss, are detailed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balances related to transactions with WPP, as reflected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0"/>
        </w:trPr>
        <w:tc>
          <w:tcPr>
            <w:tcW w:w="8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Charter, Liberty and Pine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May 15, 2023, Charter, Qurate and Pine each held 33.3% of the outstanding shares of Series B Preferred Stock. On May 16, 2023, Qurate sold its Series B Preferred Stock to Liberty, and Charter, Liberty, and Pine each continued to hold 33.3% of the outstanding shares of Series B Preferred Stock until the Closing Date of the Recapitalization Transaction.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Annual Meeting on June 15, 2023, the Company's stockholders approved proposals permitting the payment of annual dividends on the Series B Preferred Stock in the form of cash, shares of Common Stock, additional shares of Series B Preferred Stock, or a combination thereof, subject to conditions set forth in the Certificate of Designations of the Series B Preferred Stock. On the same date, each holder of Series B Preferred Stock waived its right to receive on June 30, 2023 the annual dividends otherwise payable by the Company on that date. Under the waivers and the Certificate of Designations of the Series B Preferred Stock, the deferred dividends would accrue at a rate of 9.5% per year from June 30, 2023 until declared and paid, with payment to occur on or before December 31, 2023.</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26, 2023, each holder of Series B Preferred Stock waived its right to receive the deferred dividends on or before December 31, 2023. Under the waivers and the Certificate of Designations of Series B Preferred Stock, the deferred dividends would continue to accrue at a rate of 9.5% per year until paid, with payment to occur on or before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each holder of Series B Preferred Stock further waived its right to receive the deferred dividends on or before June 30, 2024. In addition, each holder waived its right to receive on June 30, 2024 the annual dividends otherwise payable on that date for the dividend period ending June 29, 2024. Under these waivers and the Certificate of Designations of the Series B Preferred Stock, the deferred dividends for both periods (2023 and 2024) would continue to accrue and accumulate at a rate of 9.5% per year until declared and paid, with payment to occur on or before July 31, 2024.</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24, 2024, the Company issued 13,257,294 additional shares of Series B Preferred Stock to the existing holders of Series B Preferred Stock in exchange for cancellation of the Company's obligation to pay the deferred dividends totaling $32.8 million to such holders for annual dividend periods ended in 2023 and 2024. For further information refer to </w:t>
      </w:r>
      <w:r>
        <w:rPr>
          <w:rFonts w:ascii="Times New Roman" w:cs="Times New Roman" w:eastAsia="Times New Roman" w:hAnsi="Times New Roman"/>
          <w:sz w:val="18"/>
          <w:szCs w:val="18"/>
          <w:u w:val="single" w:color="auto"/>
          <w:color w:val="0000FF"/>
        </w:rPr>
        <w:t>Footnote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Redeemable Preferred Stock and Stockholders' Equity (Deficit)</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Charter, Liberty and Pine each owned 31,928,301 shares of the Series B Preferred Stock, and total accrued dividends were $9.0 million.</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each holder of Series B Preferred Stock waived its right to receive on June 30, 2025 the annual dividends otherwise payable on that date. Under the waivers and the Certificate of Designations, the deferred dividends continued to accrue and accumulate at a rate of 9.5% per year until they were extinguished as part of the Recapitalization Transaction.</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2025, as part of the Recapitalization Transaction, Charter, Liberty and Pine each exchanged 31,928,301 shares of Series B Preferred Stock for (i) 4,223,621 shares of Preferred Stock and (ii) 3,286,825 shares of Exchange Common Stock. Additionally, the Company agreed to a fixed cash payment of $2.0 million to each of the Preferred Stockholders on June 30, 2028, regardless of whether the Preferred Stockholders continue to own any securities of the Company on the payment date.</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Charter, Liberty and Pine are entitled to convert the Preferred Stock into shares of Common Stock and to vote as a single class with the holders of the Common Stock as set forth in the Certificate of Designations of the Preferred Stock. In connection with the Recapitalization Transaction, the Company and the Preferred Stockholders also entered into an amendment and restatement of the Stockholders Agreement between the parties. Under the Stockholders Agreement, as amended and restated, each Preferred Stockholder has the right to designate one director to serve on the Company's Board, and the Preferred Stockholders together have the right to nominate a fourth director who will act as the Board Chair. In addition, each Preferred Stockholder has consent rights over certain matters. In accordance with the Stockholders Agreement, Charter, Liberty and Pine each have designated one member of the Company's Board and together have nominated an additional member of the Company's Board. For further information, refer to </w:t>
      </w:r>
      <w:r>
        <w:rPr>
          <w:rFonts w:ascii="Times New Roman" w:cs="Times New Roman" w:eastAsia="Times New Roman" w:hAnsi="Times New Roman"/>
          <w:sz w:val="18"/>
          <w:szCs w:val="18"/>
          <w:u w:val="single" w:color="auto"/>
          <w:color w:val="0000FF"/>
        </w:rPr>
        <w:t>Footnote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Footnote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Convertible Redeemable Preferred Stock and Stockholders' Equity (Deficit)</w:t>
      </w:r>
      <w:r>
        <w:rPr>
          <w:rFonts w:ascii="Times New Roman" w:cs="Times New Roman" w:eastAsia="Times New Roman" w:hAnsi="Times New Roman"/>
          <w:sz w:val="18"/>
          <w:szCs w:val="18"/>
          <w:color w:val="000000"/>
        </w:rPr>
        <w: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Charter, Liberty and Pine each owned 4,223,621 shares of the Company's outstanding Preferred Stock and 3,286,825 shares of Exchange Common Stock. Additionally, as of December 31, 2025 (based on public filings), Charter and Pine also owned an additional 8,358 shares and 109,654 shares, respectively, of the Company's outstanding Common Stock. As of December 31, 2025, the total fixed cash payment to the Preferred Stockholders is measured at its present value of $4.5 million and is presented in the Consolidated Balance Sheet as a non-current liability.</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closing of the Transactions on March 10, 2021, the Company entered into a ten-year Data License Agreement ("DLA") with Charter Communications Operating, LLC ("Charter Operating"), an affiliate of Charter. Under the original DLA, Charter Operating would bill the Company for license fees according to a payment schedule that gradually increased from $10.0 million in the first year of the term to $32.3 million in the tenth year of the term. The Company would recognize expense for the license fees ratably over the term. On November 6, 2022, the Company and Charter Operating entered into an amendment to the DLA, pursuant to which the Company received license fee credits totaling $7.0 million. On December 31, 2024, the Company and Charter Operating entered into another amendment (the "2024 Amendment") under which the Company pays fees based on household counts provided by Charter Operating during the period. The 2024 Amendment was conditioned upon the Company's payment of arrears due to Charter under the DLA, which were paid in full on December 31, 2024.</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results from transactions with Charter and its affiliates, as reflected in the Consolidated Statements of Operations and Comprehensive Loss, are detailed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19,914</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liability balances related to transactions with Charter and its affiliates, as reflected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accrued data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payable to preferred stockholders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above with respect to the Recapitalization Transaction, the Company had no transactions with Pine and Liberty for the year ended December 31, 2025. Other than the 2024 Series B Preferred Stock issuance, the Company had no transactions with Pine and Liberty for the year ended December 31, 2024. In 2023, the Company entered into a finance lease with a third-party vendor that is not a related party. In conjunction with this transaction, the third-party vendor purchased equipment for $2.5 million from a Pine affiliate (related party). The Company had no additional transactions with Pine and no transactions with Liberty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 and Officers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revenues of $0.9 million, $1.2 million and $1.1 million during the years ended December 31, 2025, 2024 and 2023, respectively, from transactions with affiliates or former affiliates of its directors and officers in the normal course of business as reflected in the Consolidated Statements of Operations and Comprehensive Loss. For the years ended December 31, 2024 and 2023, $0.9 million of these revenues were separately disclosed as transactions with Qurate and its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business that can earn revenues and incur expenses for which discrete financial information is available and is evaluated on a regular basis by the chief operating decision maker ("CODM"). The Company's CODM is its Chief Executive Officer, who decides how to allocate resources and assess performance. The Company operates as one operating segment. A single management team reports to the CODM, who manages the business on a consolidated basis.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uses consolidated net income to make decisions, allocate resources and assess performance. The following table presents financial information that is presented to the CODM with respect to the Company's single operating segment for the years ended December 31, 2025,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Content &amp; Ad Measurement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304,270</w:t>
            </w:r>
          </w:p>
        </w:tc>
        <w:tc>
          <w:tcPr>
            <w:tcW w:w="8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301,124</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Syndicated Audience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276,101</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Platform</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33,803</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&amp; Insight Solutions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61,439</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357,469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371,343</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Cost of goods sold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133,934</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Professional fees </w:t>
            </w:r>
            <w:r>
              <w:rPr>
                <w:rFonts w:ascii="Times New Roman" w:cs="Times New Roman" w:eastAsia="Times New Roman" w:hAnsi="Times New Roman"/>
                <w:sz w:val="21"/>
                <w:szCs w:val="21"/>
                <w:color w:val="auto"/>
                <w:vertAlign w:val="superscript"/>
              </w:rPr>
              <w:t>(2)</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Facilities &amp; office expense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0" w:type="dxa"/>
            <w:vAlign w:val="bottom"/>
          </w:tcPr>
          <w:p>
            <w:pPr>
              <w:spacing w:after="0"/>
              <w:rPr>
                <w:sz w:val="1"/>
                <w:szCs w:val="1"/>
                <w:color w:val="auto"/>
              </w:rPr>
            </w:pPr>
          </w:p>
        </w:tc>
      </w:tr>
      <w:tr>
        <w:trPr>
          <w:trHeight w:val="213"/>
        </w:trPr>
        <w:tc>
          <w:tcPr>
            <w:tcW w:w="5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Software licenses, maintenance and systems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Travel &amp; entertainment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operating expenses </w:t>
            </w:r>
            <w:r>
              <w:rPr>
                <w:rFonts w:ascii="Times New Roman" w:cs="Times New Roman" w:eastAsia="Times New Roman" w:hAnsi="Times New Roman"/>
                <w:sz w:val="21"/>
                <w:szCs w:val="21"/>
                <w:color w:val="auto"/>
                <w:vertAlign w:val="superscript"/>
              </w:rPr>
              <w:t>(3)</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179,927</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178,228</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186,500</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26,920</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&amp; transformation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16"/>
        </w:trPr>
        <w:tc>
          <w:tcPr>
            <w:tcW w:w="57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transaction costs </w:t>
            </w:r>
            <w:r>
              <w:rPr>
                <w:rFonts w:ascii="Times New Roman" w:cs="Times New Roman" w:eastAsia="Times New Roman" w:hAnsi="Times New Roman"/>
                <w:sz w:val="21"/>
                <w:szCs w:val="21"/>
                <w:color w:val="auto"/>
                <w:vertAlign w:val="superscript"/>
              </w:rPr>
              <w:t>(2)</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transactions </w:t>
            </w:r>
            <w:r>
              <w:rPr>
                <w:rFonts w:ascii="Times New Roman" w:cs="Times New Roman" w:eastAsia="Times New Roman" w:hAnsi="Times New Roman"/>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w:t>
            </w:r>
          </w:p>
        </w:tc>
        <w:tc>
          <w:tcPr>
            <w:tcW w:w="4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79,702</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firstLine="8"/>
        <w:spacing w:after="0" w:line="233" w:lineRule="auto"/>
        <w:tabs>
          <w:tab w:leader="none" w:pos="167"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certain items that are recorded within the cost of revenues, selling and marketing, research and development, and general and administrative expense lines on the Company's Consolidated Statements of Operations and Comprehensive Loss that are presented elsewhere in this table in accordance with the presentation to the CODM, who uses the adjusted presentation to allocate resources and assess performance.</w:t>
      </w:r>
    </w:p>
    <w:p>
      <w:pPr>
        <w:spacing w:after="0" w:line="1" w:lineRule="exact"/>
        <w:rPr>
          <w:rFonts w:ascii="Times New Roman" w:cs="Times New Roman" w:eastAsia="Times New Roman" w:hAnsi="Times New Roman"/>
          <w:sz w:val="19"/>
          <w:szCs w:val="19"/>
          <w:color w:val="auto"/>
          <w:vertAlign w:val="superscript"/>
        </w:rPr>
      </w:pPr>
    </w:p>
    <w:p>
      <w:pPr>
        <w:jc w:val="both"/>
        <w:ind w:firstLine="8"/>
        <w:spacing w:after="0" w:line="229" w:lineRule="auto"/>
        <w:tabs>
          <w:tab w:leader="none" w:pos="170"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Beginning in 2025 (and for comparable prior periods), strategic transaction costs that had previously been included in professional fees are being presented separately in this table in accordance with the presentation to the CODM. Strategic transaction costs represent third-party professional fees and other charges incurred in connection with strategic transactions, including mergers, acquisitions, financings and dispositions, regardless of whether consummated, which the Company otherwise would not have incurred as part of its normal business operations.</w:t>
      </w:r>
    </w:p>
    <w:p>
      <w:pPr>
        <w:ind w:firstLine="8"/>
        <w:spacing w:after="0" w:line="278" w:lineRule="auto"/>
        <w:tabs>
          <w:tab w:leader="none" w:pos="145" w:val="left"/>
        </w:tabs>
        <w:numPr>
          <w:ilvl w:val="0"/>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Beginning in 2025 (and for comparable prior periods), foreign currency transactions that had previously been included in other operating expenses are being presented separately in this table in accordance with the presentation to the CODM.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Organizational Restructuring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2022, the Company communicated a workforce reduction as part of its broader efforts to improve cost efficiency and better align its operating structure and resources with strategic priorities (collectively, the "Restructuring Plan"). In addition to employee terminations, the Restructuring Plan included the reallocation of commercial and product development resources; reinvestment in and modernization of key technology platforms; consolidation of data storage and processing activities to reduce the Company's data center footprint; and reduction of other operating expenses, including software and facility costs. In connection with the Restructuring Plan, which was authorized by the Board on September 19, 2022, the Company incurred certain exit-related costs. The Restructuring Plan was substantially completed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restructuring costs recognized for the year ended December 31, 2025. The following table summarizes costs incurred related to the Restructuring Plan for the years ended December 31, 2024 and 2023.</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related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5,464</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restructuring</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6,234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changes in the accrued amounts for the years ended December 31, 2025 and 2024 and the balance of the restructuring liability as of December 31, 2024, which is recorded in accrued expenses in the Consolidated Balance Sheet:</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Severance and Related</w:t>
            </w:r>
          </w:p>
        </w:tc>
        <w:tc>
          <w:tcPr>
            <w:tcW w:w="36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 Restructuring</w:t>
            </w:r>
          </w:p>
        </w:tc>
        <w:tc>
          <w:tcPr>
            <w:tcW w:w="0" w:type="dxa"/>
            <w:vAlign w:val="bottom"/>
          </w:tcPr>
          <w:p>
            <w:pPr>
              <w:spacing w:after="0"/>
              <w:rPr>
                <w:sz w:val="1"/>
                <w:szCs w:val="1"/>
                <w:color w:val="auto"/>
              </w:rPr>
            </w:pPr>
          </w:p>
        </w:tc>
      </w:tr>
      <w:tr>
        <w:trPr>
          <w:trHeight w:val="195"/>
        </w:trPr>
        <w:tc>
          <w:tcPr>
            <w:tcW w:w="6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5"/>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213"/>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balance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3"/>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balance as of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carried out an evaluation required by the Securities Exchange Act of 1934 (the "Exchange Act"), under the supervision and with the participation of our principal executive officer and our principal financial officer, of the effectiveness of the design and operation of our disclosure controls and procedures, as defined in Rules 13a-15(e) and 15d-15(e) of the Exchange Act, as of December 31, 2025. Based on this evaluation, our principal executive officer and principal financial officer concluded that as of December 31, 2025, these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15d-15(f) of the Exchange Act. Management, under the supervision and with the participation of our principal executive officer and principal financial officer, assessed the effectiveness of our internal control over financial reporting as of December 31, 2025 based on criteria established in Internal Control - Integrated Framework (2013) issued by the Committee of Sponsoring Organizations of the Treadway Commission. 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Annual Report does not include an attestation report of our independent registered public accounting firm regarding internal control over financial reporting because we are a "non-accelerated filer," and may take advantage of certain exemptions from reporting requirements that are applicable to public companies that are accelerated filers, including, but not limited to, the auditor attestation requirements of Section 404(b) of the Sarbanes-Oxley Act. Deloitte &amp; Touche LLP has audited, and issued an unqualified opinion with respect to, our Consolidated Financial Statements for 2025, which opinion is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"Financial Statements and Supplementary Data," of this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There were no changes in our internal control over financial reporting during our most recent fiscal quarter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future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310" w:lineRule="exact"/>
        <w:rPr>
          <w:sz w:val="20"/>
          <w:szCs w:val="20"/>
          <w:color w:val="auto"/>
        </w:rPr>
      </w:pPr>
    </w:p>
    <w:p>
      <w:pPr>
        <w:ind w:firstLine="8"/>
        <w:spacing w:after="0" w:line="282" w:lineRule="auto"/>
        <w:tabs>
          <w:tab w:leader="none" w:pos="2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2025, no director or officer (as defined in Rule 16a-1(f) under the Exchange Act) of the Company adopted or terminated any Rule 10b5-1 trading arrangements or non-Rule 10b5-1 trading arrangements (in each case, as defined in Item 408(a) of Regulation S-K).</w:t>
      </w:r>
    </w:p>
    <w:p>
      <w:pPr>
        <w:spacing w:after="0" w:line="239"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Certain information regarding our directors and executive officers required by Item 10 of Part III is set forth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of Part I "Business - Executive Officers and Directors." Other information required by Item 10 of Part III, including information regarding any material changes to the process by which security holders may recommend nominees to the Board of Directors and information regarding our insider trading policies and procedures, is incorporated by reference to the information that will be included in our Proxy Statement relating to our 2026 Annual Meeting of Stockholders. Information required by Item 10 of Part III regarding our Audit Committee is incorporated by reference to the information that will be included in our Proxy Statement relating to our 2026 Annual Meeting of Stockholders. Information relating to our compliance with Section 16(a) of the Exchange Act is incorporated by reference to the information that will be included in our Proxy Statement relating to our 2026 Annual Meeting of Stockholders.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principal executive officer, principal financial officer, principal accounting officer or controller, and persons performing similar functions. We have posted the Code of Business Conduct and Ethics on our investor relations website under the heading "Corporate Governance" at www.comscore.com. To the extent permissible under Nasdaq rules, we intend to disclose any amendments to our Code of Business Conduct and Ethics, as well as waivers of the provisions thereof, on our investor relations website under the heading "Corporate Governance" at www.comscore.com.</w:t>
      </w:r>
    </w:p>
    <w:p>
      <w:pPr>
        <w:spacing w:after="0" w:line="22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11 of Part III regarding executive compensation and our Compensation Committee is incorporated by reference to the information that will be included in our Proxy Statement relating to our 2026 Annual Meeting of Stockholders.</w:t>
      </w:r>
    </w:p>
    <w:p>
      <w:pPr>
        <w:spacing w:after="0" w:line="198" w:lineRule="exact"/>
        <w:rPr>
          <w:sz w:val="20"/>
          <w:szCs w:val="20"/>
          <w:color w:val="auto"/>
        </w:rPr>
      </w:pPr>
    </w:p>
    <w:p>
      <w:pPr>
        <w:ind w:left="1120" w:right="620" w:hanging="1092"/>
        <w:spacing w:after="0" w:line="239"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3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 12 of Part III regarding our equity compensation plans and the security ownership of our directors, executive officers and certain stockholders is incorporated by reference to the information that will be included in our Proxy Statement relating to our 2026 Annual Meeting of Stockholders.</w:t>
      </w:r>
    </w:p>
    <w:p>
      <w:pPr>
        <w:spacing w:after="0" w:line="21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13 of Part III regarding related-party transactions, certain governance policies and procedures, and director independence is incorporated by reference to the information that will be included in our Proxy Statement relating to our 2026 Annual Meeting of Stockholders.</w:t>
      </w:r>
    </w:p>
    <w:p>
      <w:pPr>
        <w:spacing w:after="0" w:line="19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Item 14 of Part III regarding our principal accountant, Deloitte &amp; Touche LLP (PCAOB ID No. 34), is incorporated by reference to the information that will be included in our Proxy Statement relating to our 2026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24" w:lineRule="exact"/>
        <w:rPr>
          <w:sz w:val="20"/>
          <w:szCs w:val="20"/>
          <w:color w:val="auto"/>
        </w:rPr>
      </w:pPr>
    </w:p>
    <w:p>
      <w:pPr>
        <w:ind w:left="700" w:hanging="247"/>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90" w:lineRule="exact"/>
        <w:rPr>
          <w:rFonts w:ascii="Times New Roman" w:cs="Times New Roman" w:eastAsia="Times New Roman" w:hAnsi="Times New Roman"/>
          <w:sz w:val="18"/>
          <w:szCs w:val="18"/>
          <w:color w:val="auto"/>
        </w:rPr>
      </w:pPr>
    </w:p>
    <w:p>
      <w:pPr>
        <w:ind w:firstLine="899"/>
        <w:spacing w:after="0" w:line="282" w:lineRule="auto"/>
        <w:tabs>
          <w:tab w:leader="none" w:pos="11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and the report of our independent registered public accounting firm. See Index to Consolidated Financial Statements at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w:t>
      </w:r>
    </w:p>
    <w:p>
      <w:pPr>
        <w:spacing w:after="0" w:line="40" w:lineRule="exact"/>
        <w:rPr>
          <w:rFonts w:ascii="Times New Roman" w:cs="Times New Roman" w:eastAsia="Times New Roman" w:hAnsi="Times New Roman"/>
          <w:sz w:val="18"/>
          <w:szCs w:val="18"/>
          <w:color w:val="auto"/>
        </w:rPr>
      </w:pPr>
    </w:p>
    <w:p>
      <w:pPr>
        <w:jc w:val="both"/>
        <w:ind w:firstLine="899"/>
        <w:spacing w:after="0" w:line="266" w:lineRule="auto"/>
        <w:tabs>
          <w:tab w:leader="none" w:pos="11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schedules, for which provision is made in the applicable accounting regulations of the SEC, are omitted, as the required information is inapplicable or the information is presented in the Consolidated Financial Statements and Notes to Consolidated Financial Statements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w:t>
      </w:r>
    </w:p>
    <w:p>
      <w:pPr>
        <w:spacing w:after="0" w:line="54"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The exhibits filed as part of this report are listed under "Exhibits" at subsection (b) of this </w:t>
      </w:r>
      <w:r>
        <w:rPr>
          <w:rFonts w:ascii="Times New Roman" w:cs="Times New Roman" w:eastAsia="Times New Roman" w:hAnsi="Times New Roman"/>
          <w:sz w:val="18"/>
          <w:szCs w:val="18"/>
          <w:u w:val="single" w:color="auto"/>
          <w:color w:val="0000FF"/>
        </w:rPr>
        <w:t>Item 15</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2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9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52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5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Certificate of Incorporation of the Registrant (incorporated by reference to Exhibit 3.3 to the Registrant's Registration</w:t>
              </w:r>
            </w:hyperlink>
          </w:p>
        </w:tc>
      </w:tr>
      <w:tr>
        <w:trPr>
          <w:trHeight w:val="156"/>
        </w:trPr>
        <w:tc>
          <w:tcPr>
            <w:tcW w:w="10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Statement on Form S-1, as amended, filed June 12, 2007) (File No. 333-141740)</w:t>
              </w:r>
            </w:hyperlink>
          </w:p>
        </w:tc>
        <w:tc>
          <w:tcPr>
            <w:tcW w:w="45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4.2</w:t>
              </w:r>
            </w:hyperlink>
          </w:p>
        </w:tc>
      </w:tr>
      <w:tr>
        <w:trPr>
          <w:trHeight w:val="156"/>
        </w:trPr>
        <w:tc>
          <w:tcPr>
            <w:tcW w:w="1020" w:type="dxa"/>
            <w:vAlign w:val="bottom"/>
          </w:tcPr>
          <w:p>
            <w:pPr>
              <w:spacing w:after="0"/>
              <w:rPr>
                <w:sz w:val="13"/>
                <w:szCs w:val="13"/>
                <w:color w:val="auto"/>
              </w:rPr>
            </w:pPr>
          </w:p>
        </w:tc>
        <w:tc>
          <w:tcPr>
            <w:tcW w:w="104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to the Registrant's Registration Statement on Form S-8, filed June 4, 2018) (File No. 333-225400)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Certificate of Designation of Series A Junior Participating Preferred Stock of comScore, Inc., as filed with the Secretary of State of the State</w:t>
              </w:r>
            </w:hyperlink>
          </w:p>
        </w:tc>
      </w:tr>
      <w:tr>
        <w:trPr>
          <w:trHeight w:val="156"/>
        </w:trPr>
        <w:tc>
          <w:tcPr>
            <w:tcW w:w="102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of Delaware on February 9, 2017 (incorporated by reference to Exhibit 3.1 to the Registrant's Current Report on Form 8-K, filed February 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480" w:type="dxa"/>
            <w:vAlign w:val="bottom"/>
            <w:gridSpan w:val="30"/>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2017)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Elimination of Designation of Series A Junior Participating Preferred Stock of comScore, Inc., as filed with the Secretary of</w:t>
              </w:r>
            </w:hyperlink>
          </w:p>
        </w:tc>
      </w:tr>
      <w:tr>
        <w:trPr>
          <w:trHeight w:val="156"/>
        </w:trPr>
        <w:tc>
          <w:tcPr>
            <w:tcW w:w="1020" w:type="dxa"/>
            <w:vAlign w:val="bottom"/>
          </w:tcPr>
          <w:p>
            <w:pPr>
              <w:spacing w:after="0"/>
              <w:rPr>
                <w:sz w:val="13"/>
                <w:szCs w:val="13"/>
                <w:color w:val="auto"/>
              </w:rPr>
            </w:pPr>
          </w:p>
        </w:tc>
        <w:tc>
          <w:tcPr>
            <w:tcW w:w="10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State of the State of Delaware on September 29, 2017 (incorporated by reference to Exhibit 3.1 to the Registrant's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K, filed October 4, 2017) (File No. 001-33520)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Amendment to Amended and Restated Certificate of Incorporation of comScore, Inc., dated March 10, 2021 (incorporated by</w:t>
              </w:r>
            </w:hyperlink>
          </w:p>
        </w:tc>
      </w:tr>
      <w:tr>
        <w:trPr>
          <w:trHeight w:val="155"/>
        </w:trPr>
        <w:tc>
          <w:tcPr>
            <w:tcW w:w="1020" w:type="dxa"/>
            <w:vAlign w:val="bottom"/>
          </w:tcPr>
          <w:p>
            <w:pPr>
              <w:spacing w:after="0"/>
              <w:rPr>
                <w:sz w:val="13"/>
                <w:szCs w:val="13"/>
                <w:color w:val="auto"/>
              </w:rPr>
            </w:pPr>
          </w:p>
        </w:tc>
        <w:tc>
          <w:tcPr>
            <w:tcW w:w="103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reference to Exhibit 3.1 to the Registrant's Current Report on Form 8-K, filed March 15, 2021) (File No. 001-33520)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 xml:space="preserve">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 (incorporated by reference to</w:t>
              </w:r>
            </w:hyperlink>
          </w:p>
        </w:tc>
      </w:tr>
      <w:tr>
        <w:trPr>
          <w:trHeight w:val="155"/>
        </w:trPr>
        <w:tc>
          <w:tcPr>
            <w:tcW w:w="1020" w:type="dxa"/>
            <w:vAlign w:val="bottom"/>
          </w:tcPr>
          <w:p>
            <w:pPr>
              <w:spacing w:after="0"/>
              <w:rPr>
                <w:sz w:val="13"/>
                <w:szCs w:val="13"/>
                <w:color w:val="auto"/>
              </w:rPr>
            </w:pPr>
          </w:p>
        </w:tc>
        <w:tc>
          <w:tcPr>
            <w:tcW w:w="102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3.2 to the Registrant's Current Report on Form 8-K, filed March 15, 2021)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3.1</w:t>
              </w:r>
            </w:hyperlink>
          </w:p>
        </w:tc>
      </w:tr>
      <w:tr>
        <w:trPr>
          <w:trHeight w:val="155"/>
        </w:trPr>
        <w:tc>
          <w:tcPr>
            <w:tcW w:w="10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to the Registrant's Current Report on Form 8-K, filed June 22, 2023) (File No. 001-33520)</w:t>
              </w:r>
            </w:hyperlink>
          </w:p>
        </w:tc>
        <w:tc>
          <w:tcPr>
            <w:tcW w:w="39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Certificate of Amendment to the 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(incorporated by reference to Exhibit 3.2 to the Registrant's Current Report on Form 8-K, filed June 22, 2023)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3.1</w:t>
              </w:r>
            </w:hyperlink>
          </w:p>
        </w:tc>
      </w:tr>
      <w:tr>
        <w:trPr>
          <w:trHeight w:val="155"/>
        </w:trPr>
        <w:tc>
          <w:tcPr>
            <w:tcW w:w="1020" w:type="dxa"/>
            <w:vAlign w:val="bottom"/>
          </w:tcPr>
          <w:p>
            <w:pPr>
              <w:spacing w:after="0"/>
              <w:rPr>
                <w:sz w:val="13"/>
                <w:szCs w:val="13"/>
                <w:color w:val="auto"/>
              </w:rPr>
            </w:pPr>
          </w:p>
        </w:tc>
        <w:tc>
          <w:tcPr>
            <w:tcW w:w="104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to the Registrant's Current Report on Form 8-K, filed December 27, 2023)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Certificate of Amendment to the 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3.1 to the Registrant's Current Report on Form 8-K, filed June 18, 2024)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100" w:type="dxa"/>
            <w:vAlign w:val="bottom"/>
            <w:gridSpan w:val="7"/>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Certificate of Amendment of Amended and Restated Certificate of Incorporation of comScore, Inc. (incorporated by reference to Exhibit 3.1</w:t>
              </w:r>
            </w:hyperlink>
          </w:p>
        </w:tc>
      </w:tr>
      <w:tr>
        <w:trPr>
          <w:trHeight w:val="155"/>
        </w:trPr>
        <w:tc>
          <w:tcPr>
            <w:tcW w:w="10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to the Registrant's Current Report on Form 8-K, filed June 24, 2025) (File No. 001-33520)</w:t>
              </w:r>
            </w:hyperlink>
          </w:p>
        </w:tc>
        <w:tc>
          <w:tcPr>
            <w:tcW w:w="39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Certificate of Amendment to the Certificate of Designations of Series B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w:t>
              </w:r>
            </w:hyperlink>
          </w:p>
        </w:tc>
      </w:tr>
      <w:tr>
        <w:trPr>
          <w:trHeight w:val="156"/>
        </w:trPr>
        <w:tc>
          <w:tcPr>
            <w:tcW w:w="1020" w:type="dxa"/>
            <w:vAlign w:val="bottom"/>
          </w:tcPr>
          <w:p>
            <w:pPr>
              <w:spacing w:after="0"/>
              <w:rPr>
                <w:sz w:val="13"/>
                <w:szCs w:val="13"/>
                <w:color w:val="auto"/>
              </w:rPr>
            </w:pPr>
          </w:p>
        </w:tc>
        <w:tc>
          <w:tcPr>
            <w:tcW w:w="10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(incorporated by reference to Exhibit 3.2 to the Registrant's Current Report on Form 8-K, filed June 24, 2025)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100" w:type="dxa"/>
            <w:vAlign w:val="bottom"/>
            <w:gridSpan w:val="7"/>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Elimination of Designation of Series B Convertible Preferred Stock of comScore, Inc., dated December 29, 2025 (incorporated</w:t>
              </w:r>
            </w:hyperlink>
          </w:p>
        </w:tc>
      </w:tr>
      <w:tr>
        <w:trPr>
          <w:trHeight w:val="156"/>
        </w:trPr>
        <w:tc>
          <w:tcPr>
            <w:tcW w:w="10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by reference to Exhibit 3.1 to the Registrant's Current Report on Form 8-K, filed December 31, 2025) (File No. 001-33520)</w:t>
              </w:r>
            </w:hyperlink>
          </w:p>
        </w:tc>
        <w:tc>
          <w:tcPr>
            <w:tcW w:w="16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Amendment of Amended and Restated Certificate of Incorporation of comScore, Inc., dated December 29, 2025 (incorporated</w:t>
              </w:r>
            </w:hyperlink>
          </w:p>
        </w:tc>
      </w:tr>
      <w:tr>
        <w:trPr>
          <w:trHeight w:val="155"/>
        </w:trPr>
        <w:tc>
          <w:tcPr>
            <w:tcW w:w="10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by reference to Exhibit 3.2 to the Registrant's Current Report on Form 8-K, filed December 31, 2025) (File No. 001-33520)</w:t>
              </w:r>
            </w:hyperlink>
          </w:p>
        </w:tc>
        <w:tc>
          <w:tcPr>
            <w:tcW w:w="14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 xml:space="preserve">Certificate of Designations of Series C Convertible Preferred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0.001, of comScore, Inc., dated December 29, 2025</w:t>
              </w:r>
            </w:hyperlink>
          </w:p>
        </w:tc>
      </w:tr>
      <w:tr>
        <w:trPr>
          <w:trHeight w:val="155"/>
        </w:trPr>
        <w:tc>
          <w:tcPr>
            <w:tcW w:w="10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(incorporated by reference to Exhibit 3.3 to the Registrant's Current Report on Form 8-K, filed December 31, 2025) (File No. 001-33520)</w:t>
              </w:r>
            </w:hyperlink>
          </w:p>
        </w:tc>
        <w:tc>
          <w:tcPr>
            <w:tcW w:w="42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Bylaws of comScore, Inc (incorporated by reference to Exhibit 3.2 to the Registrant's Quarterly Report on Form 10-Q</w:t>
              </w:r>
            </w:hyperlink>
          </w:p>
        </w:tc>
      </w:tr>
      <w:tr>
        <w:trPr>
          <w:trHeight w:val="155"/>
        </w:trPr>
        <w:tc>
          <w:tcPr>
            <w:tcW w:w="1020" w:type="dxa"/>
            <w:vAlign w:val="bottom"/>
          </w:tcPr>
          <w:p>
            <w:pPr>
              <w:spacing w:after="0"/>
              <w:rPr>
                <w:sz w:val="13"/>
                <w:szCs w:val="13"/>
                <w:color w:val="auto"/>
              </w:rPr>
            </w:pPr>
          </w:p>
        </w:tc>
        <w:tc>
          <w:tcPr>
            <w:tcW w:w="104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 the period ended June 30, 2018, filed August 10, 2018) (File No. 001-33520)</w:t>
              </w:r>
            </w:hyperlink>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2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Amended and Restated Stockholders Agreement, dated as of December 29, 2025, by and among comScore, Inc., Charter</w:t>
              </w:r>
            </w:hyperlink>
          </w:p>
        </w:tc>
      </w:tr>
      <w:tr>
        <w:trPr>
          <w:trHeight w:val="156"/>
        </w:trPr>
        <w:tc>
          <w:tcPr>
            <w:tcW w:w="102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Communications Holding Company, LLC, Liberty Broadband Corporation and Pine Investor, LLC (incorporated by reference to Exhibit 10.4</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tcBorders>
              <w:bottom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440" w:type="dxa"/>
            <w:vAlign w:val="bottom"/>
            <w:gridSpan w:val="2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to the Registrant's Current Report on Form 8-K, filed December 31, 2025) (File No. 001-33520)</w:t>
              </w:r>
            </w:hyperlink>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Registration Rights Agreement, dated as of March 10, 2021, by and among comScore, Inc., Charter Communications Holding Company,</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LLC, Qurate Retail, Inc. and Pine Investor, LLC (incorporated by reference to Exhibit 10.5 to the Registrant's Current Report on Form 8-K,</w:t>
              </w:r>
            </w:hyperlink>
          </w:p>
        </w:tc>
        <w:tc>
          <w:tcPr>
            <w:tcW w:w="200" w:type="dxa"/>
            <w:vAlign w:val="bottom"/>
            <w:gridSpan w:val="10"/>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filed March 15, 2021) (File No. 001-33520)</w:t>
              </w:r>
            </w:hyperlink>
          </w:p>
        </w:tc>
        <w:tc>
          <w:tcPr>
            <w:tcW w:w="240" w:type="dxa"/>
            <w:vAlign w:val="bottom"/>
            <w:gridSpan w:val="1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First  Amendment  to  Registration  Rights  Agreement,  dated  as  of  December  29,  2025,  by  and  among  comScore,  Inc.,  Charter</w:t>
              </w:r>
            </w:hyperlink>
          </w:p>
        </w:tc>
      </w:tr>
      <w:tr>
        <w:trPr>
          <w:trHeight w:val="156"/>
        </w:trPr>
        <w:tc>
          <w:tcPr>
            <w:tcW w:w="1020" w:type="dxa"/>
            <w:vAlign w:val="bottom"/>
          </w:tcPr>
          <w:p>
            <w:pPr>
              <w:spacing w:after="0"/>
              <w:rPr>
                <w:sz w:val="13"/>
                <w:szCs w:val="13"/>
                <w:color w:val="auto"/>
              </w:rPr>
            </w:pPr>
          </w:p>
        </w:tc>
        <w:tc>
          <w:tcPr>
            <w:tcW w:w="102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Communications Holding Company, LLC, Liberty Broadband Corporation and Pine Investor, LLC (incorporated by reference to Exhibit 10.5</w:t>
              </w:r>
            </w:hyperlink>
          </w:p>
        </w:tc>
        <w:tc>
          <w:tcPr>
            <w:tcW w:w="300" w:type="dxa"/>
            <w:vAlign w:val="bottom"/>
            <w:gridSpan w:val="15"/>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4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to the Registrant's Current Report on Form 8-K, filed December 31, 2025) (File No. 001-33520)</w:t>
              </w:r>
            </w:hyperlink>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3600" w:type="dxa"/>
            <w:vAlign w:val="bottom"/>
            <w:gridSpan w:val="24"/>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520" w:type="dxa"/>
            <w:vAlign w:val="bottom"/>
            <w:gridSpan w:val="3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 as</w:t>
              </w:r>
            </w:hyperlink>
          </w:p>
        </w:tc>
      </w:tr>
      <w:tr>
        <w:trPr>
          <w:trHeight w:val="155"/>
        </w:trPr>
        <w:tc>
          <w:tcPr>
            <w:tcW w:w="10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amended, filed June 12, 2007) (File No. 333-141740)</w:t>
              </w:r>
            </w:hyperlink>
          </w:p>
        </w:tc>
        <w:tc>
          <w:tcPr>
            <w:tcW w:w="66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763"/>
        </w:trPr>
        <w:tc>
          <w:tcPr>
            <w:tcW w:w="1020" w:type="dxa"/>
            <w:vAlign w:val="bottom"/>
          </w:tcPr>
          <w:p>
            <w:pPr>
              <w:spacing w:after="0"/>
              <w:rPr>
                <w:sz w:val="24"/>
                <w:szCs w:val="24"/>
                <w:color w:val="auto"/>
              </w:rPr>
            </w:pPr>
          </w:p>
        </w:tc>
        <w:tc>
          <w:tcPr>
            <w:tcW w:w="5800" w:type="dxa"/>
            <w:vAlign w:val="bottom"/>
            <w:gridSpan w:val="5"/>
          </w:tcPr>
          <w:p>
            <w:pPr>
              <w:ind w:left="45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8800" w:type="dxa"/>
            <w:vAlign w:val="bottom"/>
            <w:gridSpan w:val="37"/>
          </w:tcPr>
          <w:p>
            <w:pPr>
              <w:spacing w:after="0"/>
              <w:rPr>
                <w:sz w:val="17"/>
                <w:szCs w:val="17"/>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Series B Preferred Stockholder Waiver, dated June 24, 2025, from Charter Communications Holding Company, LLC (incorporated by</w:t>
              </w:r>
            </w:hyperlink>
          </w:p>
        </w:tc>
      </w:tr>
      <w:tr>
        <w:trPr>
          <w:trHeight w:val="155"/>
        </w:trPr>
        <w:tc>
          <w:tcPr>
            <w:tcW w:w="1020" w:type="dxa"/>
            <w:vAlign w:val="bottom"/>
          </w:tcPr>
          <w:p>
            <w:pPr>
              <w:spacing w:after="0"/>
              <w:rPr>
                <w:sz w:val="13"/>
                <w:szCs w:val="13"/>
                <w:color w:val="auto"/>
              </w:rPr>
            </w:pPr>
          </w:p>
        </w:tc>
        <w:tc>
          <w:tcPr>
            <w:tcW w:w="104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4.1 to the Registrant's Current Report on Form 8-K, filed June 24, 2025)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Series B Preferred Stockholder Waiver, dated June 24, 2025, from Liberty Broadband Corporation (incorporated by reference to Exhibit 4.2</w:t>
              </w:r>
            </w:hyperlink>
          </w:p>
        </w:tc>
      </w:tr>
      <w:tr>
        <w:trPr>
          <w:trHeight w:val="155"/>
        </w:trPr>
        <w:tc>
          <w:tcPr>
            <w:tcW w:w="10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to the Registrant's Current Report on Form 8-K, filed June 24, 2025) (File No. 001-33520)</w:t>
              </w:r>
            </w:hyperlink>
          </w:p>
        </w:tc>
        <w:tc>
          <w:tcPr>
            <w:tcW w:w="354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Series B Preferred Stockholder Waiver, dated June 24, 2025, from Pine Investor, LLC (incorporated by reference to Exhibit 4.3 to the</w:t>
              </w:r>
            </w:hyperlink>
          </w:p>
        </w:tc>
      </w:tr>
      <w:tr>
        <w:trPr>
          <w:trHeight w:val="155"/>
        </w:trPr>
        <w:tc>
          <w:tcPr>
            <w:tcW w:w="1020" w:type="dxa"/>
            <w:vAlign w:val="bottom"/>
          </w:tcPr>
          <w:p>
            <w:pPr>
              <w:spacing w:after="0"/>
              <w:rPr>
                <w:sz w:val="13"/>
                <w:szCs w:val="13"/>
                <w:color w:val="auto"/>
              </w:rPr>
            </w:pPr>
          </w:p>
        </w:tc>
        <w:tc>
          <w:tcPr>
            <w:tcW w:w="96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Registrant's Current Report on Form 8-K, filed June 24, 2025) (File No. 001-33520)</w:t>
              </w:r>
            </w:hyperlink>
          </w:p>
        </w:tc>
        <w:tc>
          <w:tcPr>
            <w:tcW w:w="12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Data License Agreement, dated as of March 10, 2021, by and between comScore, Inc. and Charter Communications Operating, LLC</w:t>
              </w:r>
            </w:hyperlink>
          </w:p>
        </w:tc>
      </w:tr>
      <w:tr>
        <w:trPr>
          <w:trHeight w:val="155"/>
        </w:trPr>
        <w:tc>
          <w:tcPr>
            <w:tcW w:w="10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(incorporated by reference to Exhibit 10.6 to the Registrant's Current Report on Form 8-K, filed March 15, 2021) (File No. 001-33520)</w:t>
              </w:r>
            </w:hyperlink>
          </w:p>
        </w:tc>
        <w:tc>
          <w:tcPr>
            <w:tcW w:w="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Data License Agreement, dated as of March 30, 2022, by and between comScore, Inc. and Charter Communications</w:t>
              </w:r>
            </w:hyperlink>
          </w:p>
        </w:tc>
      </w:tr>
      <w:tr>
        <w:trPr>
          <w:trHeight w:val="155"/>
        </w:trPr>
        <w:tc>
          <w:tcPr>
            <w:tcW w:w="1020" w:type="dxa"/>
            <w:vAlign w:val="bottom"/>
          </w:tcPr>
          <w:p>
            <w:pPr>
              <w:spacing w:after="0"/>
              <w:rPr>
                <w:sz w:val="13"/>
                <w:szCs w:val="13"/>
                <w:color w:val="auto"/>
              </w:rPr>
            </w:pPr>
          </w:p>
        </w:tc>
        <w:tc>
          <w:tcPr>
            <w:tcW w:w="104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Operating, LLC (incorporated by reference to Exhibit 10.1 to the Registrant's Quarterly Report on Form 10-Q for the period ended March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2022, filed May 10, 2022) (File No. 001-33520)</w:t>
              </w:r>
            </w:hyperlink>
          </w:p>
        </w:tc>
        <w:tc>
          <w:tcPr>
            <w:tcW w:w="67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Amendment to Data License Agreement, dated as of November 6, 2022, by and between comScore, Inc. and Charter</w:t>
              </w:r>
            </w:hyperlink>
          </w:p>
        </w:tc>
      </w:tr>
      <w:tr>
        <w:trPr>
          <w:trHeight w:val="156"/>
        </w:trPr>
        <w:tc>
          <w:tcPr>
            <w:tcW w:w="1020" w:type="dxa"/>
            <w:vAlign w:val="bottom"/>
          </w:tcPr>
          <w:p>
            <w:pPr>
              <w:spacing w:after="0"/>
              <w:rPr>
                <w:sz w:val="13"/>
                <w:szCs w:val="13"/>
                <w:color w:val="auto"/>
              </w:rPr>
            </w:pPr>
          </w:p>
        </w:tc>
        <w:tc>
          <w:tcPr>
            <w:tcW w:w="105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Communications Operating, LLC (incorporated by reference to Exhibit 10.1 to the Registrant's Current Report on Form 8-K, filed November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1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7, 2022) (File No. 001-33520)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Amendment to Data License Agreement, dated as of November 8, 2024, by and between comScore, Inc. and Charter Communications</w:t>
              </w:r>
            </w:hyperlink>
          </w:p>
        </w:tc>
      </w:tr>
      <w:tr>
        <w:trPr>
          <w:trHeight w:val="156"/>
        </w:trPr>
        <w:tc>
          <w:tcPr>
            <w:tcW w:w="102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Operating, LLC (incorporated by reference to Exhibit 10.55 to the Registrant's Annual Report on Form 10-K for the period ended December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38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31, 2024, filed March 6, 2025) (File No. 001-33520)</w:t>
              </w:r>
            </w:hyperlink>
          </w:p>
        </w:tc>
        <w:tc>
          <w:tcPr>
            <w:tcW w:w="6780" w:type="dxa"/>
            <w:vAlign w:val="bottom"/>
            <w:gridSpan w:val="30"/>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Fourth Amendment to Data License Agreement, dated as of December 31, 2024, by and between comScore, Inc. and Charter</w:t>
              </w:r>
            </w:hyperlink>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Operating, LLC (incorporated by reference to Exhibit 10.1 to the Registrant's Current Report on Form 8-K, filed January 7,</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480" w:type="dxa"/>
            <w:vAlign w:val="bottom"/>
            <w:gridSpan w:val="34"/>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2025) (File No. 001-33520)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Patent Purchase, License and Settlement Agreement, dated as of December 20, 2011, by and among comScore, Inc., The Nielsen Company</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(US) LLC and NetRatings LLC (incorporated by reference to Exhibit 10.1 to the Registrant's Current Report on Form 8-K, filed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560" w:type="dxa"/>
            <w:vAlign w:val="bottom"/>
            <w:gridSpan w:val="38"/>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21, 2011) (File No. 001-33520)</w:t>
              </w:r>
            </w:hyperlink>
          </w:p>
        </w:tc>
        <w:tc>
          <w:tcPr>
            <w:tcW w:w="40" w:type="dxa"/>
            <w:vAlign w:val="bottom"/>
            <w:gridSpan w:val="2"/>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Deed of Lease between South of Market LLC (as Landlord) and comScore, Inc. (as Tenant), dated December 21, 2007 (incorporated by</w:t>
              </w:r>
            </w:hyperlink>
          </w:p>
        </w:tc>
      </w:tr>
      <w:tr>
        <w:trPr>
          <w:trHeight w:val="156"/>
        </w:trPr>
        <w:tc>
          <w:tcPr>
            <w:tcW w:w="1020" w:type="dxa"/>
            <w:vAlign w:val="bottom"/>
          </w:tcPr>
          <w:p>
            <w:pPr>
              <w:spacing w:after="0"/>
              <w:rPr>
                <w:sz w:val="13"/>
                <w:szCs w:val="13"/>
                <w:color w:val="auto"/>
              </w:rPr>
            </w:pPr>
          </w:p>
        </w:tc>
        <w:tc>
          <w:tcPr>
            <w:tcW w:w="103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reference to Exhibit 10.1 to the Registrant's Current Report on Form 8-K, filed February 5, 2008)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No. 6 to Deed of Lease, dated as of May 30, 2018, by and between South of Market LLC and comScore, Inc. (incorporated by</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10.1 to the Registrant's Current Report on Form 8-K, filed June 5, 2018)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No. 7 to Deed of Lease, dated as of May 24, 2021, by and between South of Market LLC and comScore, Inc. (incorporated by</w:t>
              </w:r>
            </w:hyperlink>
          </w:p>
        </w:tc>
      </w:tr>
      <w:tr>
        <w:trPr>
          <w:trHeight w:val="155"/>
        </w:trPr>
        <w:tc>
          <w:tcPr>
            <w:tcW w:w="1020" w:type="dxa"/>
            <w:vAlign w:val="bottom"/>
          </w:tcPr>
          <w:p>
            <w:pPr>
              <w:spacing w:after="0"/>
              <w:rPr>
                <w:sz w:val="13"/>
                <w:szCs w:val="13"/>
                <w:color w:val="auto"/>
              </w:rPr>
            </w:pPr>
          </w:p>
        </w:tc>
        <w:tc>
          <w:tcPr>
            <w:tcW w:w="10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10.2 to the Registrant's Quarterly Report on Form 10-Q for the period ended June 30, 2021, filed August 9, 2021) (File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No. 001-33520)</w:t>
              </w:r>
            </w:hyperlink>
          </w:p>
        </w:tc>
        <w:tc>
          <w:tcPr>
            <w:tcW w:w="936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comScore, Inc. 2018 Equity and Incentive Compensation Plan (as Amended and Restated Effective as of July 9, 2020) (incorporated by</w:t>
              </w:r>
            </w:hyperlink>
          </w:p>
        </w:tc>
      </w:tr>
      <w:tr>
        <w:trPr>
          <w:trHeight w:val="156"/>
        </w:trPr>
        <w:tc>
          <w:tcPr>
            <w:tcW w:w="1020" w:type="dxa"/>
            <w:vAlign w:val="bottom"/>
          </w:tcPr>
          <w:p>
            <w:pPr>
              <w:spacing w:after="0"/>
              <w:rPr>
                <w:sz w:val="13"/>
                <w:szCs w:val="13"/>
                <w:color w:val="auto"/>
              </w:rPr>
            </w:pPr>
          </w:p>
        </w:tc>
        <w:tc>
          <w:tcPr>
            <w:tcW w:w="103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10.1 to the Registrant's Current Report on Form 8-K, filed July 15, 2020)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First Amendment to the comScore, Inc. Amended and Restated 2018 Equity and Incentive Compensation Plan (incorporated by reference to</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Exhibit 10.1 to the Registrant's Quarterly Report on Form 10-Q for the period ended June 30, 2022, filed August 9, 2022) (File No. 001-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Second Amendment to the comScore, Inc. Amended and Restated 2018 Equity and Incentive Compensation Plan (incorporated by reference</w:t>
              </w:r>
            </w:hyperlink>
          </w:p>
        </w:tc>
      </w:tr>
      <w:tr>
        <w:trPr>
          <w:trHeight w:val="155"/>
        </w:trPr>
        <w:tc>
          <w:tcPr>
            <w:tcW w:w="1020" w:type="dxa"/>
            <w:vAlign w:val="bottom"/>
          </w:tcPr>
          <w:p>
            <w:pPr>
              <w:spacing w:after="0"/>
              <w:rPr>
                <w:sz w:val="13"/>
                <w:szCs w:val="13"/>
                <w:color w:val="auto"/>
              </w:rPr>
            </w:pPr>
          </w:p>
        </w:tc>
        <w:tc>
          <w:tcPr>
            <w:tcW w:w="10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 Exhibit 10.1 to the Registrant's Quarterly Report on Form 10-Q for the period ended June 30, 2023, filed August 9, 2023) (File No. 001-</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Third Amendment to the comScore, Inc. Amended and Restated 2018 Equity and Incentive Compensation Plan (incorporated by reference to</w:t>
              </w:r>
            </w:hyperlink>
          </w:p>
        </w:tc>
      </w:tr>
      <w:tr>
        <w:trPr>
          <w:trHeight w:val="156"/>
        </w:trPr>
        <w:tc>
          <w:tcPr>
            <w:tcW w:w="1020" w:type="dxa"/>
            <w:vAlign w:val="bottom"/>
          </w:tcPr>
          <w:p>
            <w:pPr>
              <w:spacing w:after="0"/>
              <w:rPr>
                <w:sz w:val="13"/>
                <w:szCs w:val="13"/>
                <w:color w:val="auto"/>
              </w:rPr>
            </w:pPr>
          </w:p>
        </w:tc>
        <w:tc>
          <w:tcPr>
            <w:tcW w:w="104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10.1 to the Registrant's Current Report on Form 8-K, filed December 27, 2023) (File No. 001-33520)</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Fourth Amendment to the comScore, Inc. Amended and Restated 2018 Equity and Incentive Compensation Plan (incorporated by reference</w:t>
              </w:r>
            </w:hyperlink>
          </w:p>
        </w:tc>
      </w:tr>
      <w:tr>
        <w:trPr>
          <w:trHeight w:val="156"/>
        </w:trPr>
        <w:tc>
          <w:tcPr>
            <w:tcW w:w="1020" w:type="dxa"/>
            <w:vAlign w:val="bottom"/>
          </w:tcPr>
          <w:p>
            <w:pPr>
              <w:spacing w:after="0"/>
              <w:rPr>
                <w:sz w:val="13"/>
                <w:szCs w:val="13"/>
                <w:color w:val="auto"/>
              </w:rPr>
            </w:pPr>
          </w:p>
        </w:tc>
        <w:tc>
          <w:tcPr>
            <w:tcW w:w="105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Exhibit 10.2 to the Registrant's Quarterly Report on Form 10-Q for the period ended June 30, 2024, filed August 9, 2024) (File No. 001-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Fifth Amendment to the comScore, Inc. Amended and Restated 2018 Equity and Incentive Compensation Plan (incorporated by reference to</w:t>
              </w:r>
            </w:hyperlink>
          </w:p>
        </w:tc>
      </w:tr>
      <w:tr>
        <w:trPr>
          <w:trHeight w:val="155"/>
        </w:trPr>
        <w:tc>
          <w:tcPr>
            <w:tcW w:w="1020" w:type="dxa"/>
            <w:vAlign w:val="bottom"/>
          </w:tcPr>
          <w:p>
            <w:pPr>
              <w:spacing w:after="0"/>
              <w:rPr>
                <w:sz w:val="13"/>
                <w:szCs w:val="13"/>
                <w:color w:val="auto"/>
              </w:rPr>
            </w:pPr>
          </w:p>
        </w:tc>
        <w:tc>
          <w:tcPr>
            <w:tcW w:w="105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10.1 to the Registrant's Quarterly Report on Form 10-Q for the period ended June 30, 2025, filed August 6, 2025) (File No. 001-</w:t>
              </w:r>
            </w:hyperlink>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600" w:type="dxa"/>
            <w:vAlign w:val="bottom"/>
            <w:gridSpan w:val="4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Units Award Notice for Directors (incorporated by reference to Exhibit 10.5 to the Registrant's Current Report on</w:t>
              </w:r>
            </w:hyperlink>
          </w:p>
        </w:tc>
      </w:tr>
      <w:tr>
        <w:trPr>
          <w:trHeight w:val="156"/>
        </w:trPr>
        <w:tc>
          <w:tcPr>
            <w:tcW w:w="10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Form 8-K, filed June 5, 2018) (File No. 001-33520)</w:t>
              </w:r>
            </w:hyperlink>
          </w:p>
        </w:tc>
        <w:tc>
          <w:tcPr>
            <w:tcW w:w="6520" w:type="dxa"/>
            <w:vAlign w:val="bottom"/>
            <w:tcBorders>
              <w:top w:val="single" w:sz="8" w:color="0000FF"/>
            </w:tcBorders>
            <w:gridSpan w:val="15"/>
          </w:tcPr>
          <w:p>
            <w:pPr>
              <w:spacing w:after="0"/>
              <w:rPr>
                <w:sz w:val="13"/>
                <w:szCs w:val="13"/>
                <w:color w:val="auto"/>
              </w:rPr>
            </w:pPr>
          </w:p>
        </w:tc>
        <w:tc>
          <w:tcPr>
            <w:tcW w:w="340" w:type="dxa"/>
            <w:vAlign w:val="bottom"/>
            <w:gridSpan w:val="17"/>
          </w:tcPr>
          <w:p>
            <w:pPr>
              <w:spacing w:after="0"/>
              <w:rPr>
                <w:sz w:val="13"/>
                <w:szCs w:val="13"/>
                <w:color w:val="auto"/>
              </w:rPr>
            </w:pPr>
          </w:p>
        </w:tc>
      </w:tr>
      <w:tr>
        <w:trPr>
          <w:trHeight w:val="830"/>
        </w:trPr>
        <w:tc>
          <w:tcPr>
            <w:tcW w:w="1020" w:type="dxa"/>
            <w:vAlign w:val="bottom"/>
          </w:tcPr>
          <w:p>
            <w:pPr>
              <w:spacing w:after="0"/>
              <w:rPr>
                <w:sz w:val="24"/>
                <w:szCs w:val="24"/>
                <w:color w:val="auto"/>
              </w:rPr>
            </w:pPr>
          </w:p>
        </w:tc>
        <w:tc>
          <w:tcPr>
            <w:tcW w:w="6060" w:type="dxa"/>
            <w:vAlign w:val="bottom"/>
            <w:gridSpan w:val="10"/>
          </w:tcPr>
          <w:p>
            <w:pPr>
              <w:ind w:left="4520"/>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Units Award Agreement for Employees (incorporated by reference to Exhibit 10.5 to the Registrant's Quarterly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on Form 10-Q for the period ended September 30, 2018, filed November 9, 2018)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57">
        <w:r>
          <w:rPr>
            <w:rFonts w:ascii="Times New Roman" w:cs="Times New Roman" w:eastAsia="Times New Roman" w:hAnsi="Times New Roman"/>
            <w:sz w:val="18"/>
            <w:szCs w:val="18"/>
            <w:u w:val="single" w:color="auto"/>
            <w:color w:val="0000FF"/>
          </w:rPr>
          <w:t>Form of Stock Option Grant Notice and Stock Option Agreement under 2018 Equity and Incentive Compensation Plan (incorporated by</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reference to Exhibit 10.33 to the Registrant's Annual Report on Form 10-K for the period ended December 31, 2019, filed February 28,</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2020) (File No. 001-33520)</w:t>
        </w:r>
      </w:hyperlink>
    </w:p>
    <w:p>
      <w:pPr>
        <w:spacing w:after="0" w:line="45" w:lineRule="exact"/>
        <w:rPr>
          <w:sz w:val="20"/>
          <w:szCs w:val="20"/>
          <w:color w:val="auto"/>
        </w:rPr>
      </w:pPr>
    </w:p>
    <w:p>
      <w:pPr>
        <w:jc w:val="right"/>
        <w:spacing w:after="0"/>
        <w:tabs>
          <w:tab w:leader="none" w:pos="10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8">
        <w:r>
          <w:rPr>
            <w:rFonts w:ascii="Times New Roman" w:cs="Times New Roman" w:eastAsia="Times New Roman" w:hAnsi="Times New Roman"/>
            <w:sz w:val="18"/>
            <w:szCs w:val="18"/>
            <w:u w:val="single" w:color="auto"/>
            <w:color w:val="0000FF"/>
          </w:rPr>
          <w:t>Form of Restricted Stock Units Award Agreement under 2018 Equity and Incentive Compensation Plan (incorporated by reference to Exhibit</w:t>
        </w:r>
      </w:hyperlink>
    </w:p>
    <w:p>
      <w:pPr>
        <w:jc w:val="right"/>
        <w:spacing w:after="0" w:line="219"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10.36 to the Registrant's Annual Report on Form 10-K for the period ended December 31, 2019, filed February 28, 2020) (File No. 001-</w:t>
        </w:r>
      </w:hyperlink>
    </w:p>
    <w:p>
      <w:pPr>
        <w:ind w:left="102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59">
        <w:r>
          <w:rPr>
            <w:rFonts w:ascii="Times New Roman" w:cs="Times New Roman" w:eastAsia="Times New Roman" w:hAnsi="Times New Roman"/>
            <w:sz w:val="18"/>
            <w:szCs w:val="18"/>
            <w:u w:val="single" w:color="auto"/>
            <w:color w:val="0000FF"/>
          </w:rPr>
          <w:t>Form of Indemnification Agreement for Directors and Executive Officers (incorporated by reference to Exhibit 10.5 to the Registrant's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Quarterly Report on Form 10-Q for the period ended March 31, 2021, filed May 6, 2021)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60">
        <w:r>
          <w:rPr>
            <w:rFonts w:ascii="Times New Roman" w:cs="Times New Roman" w:eastAsia="Times New Roman" w:hAnsi="Times New Roman"/>
            <w:sz w:val="18"/>
            <w:szCs w:val="18"/>
            <w:u w:val="single" w:color="auto"/>
            <w:color w:val="0000FF"/>
          </w:rPr>
          <w:t>Severance Agreement, effective as of November 29, 2021, by and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 to Exhibit 10.1 to the Registrant's Current Report on Form 8-K, filed October 25, 2021)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61">
        <w:r>
          <w:rPr>
            <w:rFonts w:ascii="Times New Roman" w:cs="Times New Roman" w:eastAsia="Times New Roman" w:hAnsi="Times New Roman"/>
            <w:sz w:val="18"/>
            <w:szCs w:val="18"/>
            <w:u w:val="single" w:color="auto"/>
            <w:color w:val="0000FF"/>
          </w:rPr>
          <w:t>First Amendment to the comScore, Inc. Severance Agreement, effective as of July 6, 2022, by and between comScore, Inc. and Jonathan</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Carpenter (incorporated by reference to Exhibit 10.3 to the Registrant's Current Report on Form 8-K, filed July 8, 2022) (File No. 001-</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62">
        <w:r>
          <w:rPr>
            <w:rFonts w:ascii="Times New Roman" w:cs="Times New Roman" w:eastAsia="Times New Roman" w:hAnsi="Times New Roman"/>
            <w:sz w:val="18"/>
            <w:szCs w:val="18"/>
            <w:u w:val="single" w:color="auto"/>
            <w:color w:val="0000FF"/>
          </w:rPr>
          <w:t>Change of Control Agreement, effective as of November 29, 2021, by and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10.2 to the Registrant's Current Report on Form 8-K, filed October 25, 2021) (File No. 001-33520)</w:t>
        </w:r>
      </w:hyperlink>
    </w:p>
    <w:p>
      <w:pPr>
        <w:spacing w:after="0" w:line="64" w:lineRule="exact"/>
        <w:rPr>
          <w:sz w:val="20"/>
          <w:szCs w:val="20"/>
          <w:color w:val="auto"/>
        </w:rPr>
      </w:pPr>
    </w:p>
    <w:p>
      <w:pPr>
        <w:jc w:val="right"/>
        <w:ind w:left="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63">
        <w:r>
          <w:rPr>
            <w:rFonts w:ascii="Times New Roman" w:cs="Times New Roman" w:eastAsia="Times New Roman" w:hAnsi="Times New Roman"/>
            <w:sz w:val="18"/>
            <w:szCs w:val="18"/>
            <w:u w:val="single" w:color="auto"/>
            <w:color w:val="0000FF"/>
          </w:rPr>
          <w:t>First Amendment to the comScore, Inc. Change of Control Agreement, effective as of July 6, 2022, by and between comScore, Inc. and</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Jonathan Carpenter (incorporated by reference to Exhibit 10.2 to the Registrant's Current Report on Form 8-K, filed July 8, 2022) (File No.</w:t>
        </w:r>
      </w:hyperlink>
    </w:p>
    <w:p>
      <w:pPr>
        <w:spacing w:after="0" w:line="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001-33520)</w:t>
        </w:r>
      </w:hyperlink>
    </w:p>
    <w:p>
      <w:pPr>
        <w:spacing w:after="0" w:line="57"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64">
        <w:r>
          <w:rPr>
            <w:rFonts w:ascii="Times New Roman" w:cs="Times New Roman" w:eastAsia="Times New Roman" w:hAnsi="Times New Roman"/>
            <w:sz w:val="18"/>
            <w:szCs w:val="18"/>
            <w:u w:val="single" w:color="auto"/>
            <w:color w:val="0000FF"/>
          </w:rPr>
          <w:t>Restricted Stock Units Award Agreement, dated November 29, 2021, between comScore, Inc. and Jonathan Carpenter (incorporated by</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reference to Exhibit 99.5 to the Registrant's 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65">
        <w:r>
          <w:rPr>
            <w:rFonts w:ascii="Times New Roman" w:cs="Times New Roman" w:eastAsia="Times New Roman" w:hAnsi="Times New Roman"/>
            <w:sz w:val="18"/>
            <w:szCs w:val="18"/>
            <w:u w:val="single" w:color="auto"/>
            <w:color w:val="0000FF"/>
          </w:rPr>
          <w:t>Shareablee, Inc. 2013 Stock Option/Stock Issuance Plan (incorporated by reference to Exhibit 99.1 to the Registrant's Registration Statement</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66">
        <w:r>
          <w:rPr>
            <w:rFonts w:ascii="Times New Roman" w:cs="Times New Roman" w:eastAsia="Times New Roman" w:hAnsi="Times New Roman"/>
            <w:sz w:val="18"/>
            <w:szCs w:val="18"/>
            <w:u w:val="single" w:color="auto"/>
            <w:color w:val="0000FF"/>
          </w:rPr>
          <w:t>Amendment No. 1 to Shareablee, Inc. 2013 Stock Option/Stock Issuance Plan (incorporated by reference to Exhibit 99.2 to the Registrant's</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67">
        <w:r>
          <w:rPr>
            <w:rFonts w:ascii="Times New Roman" w:cs="Times New Roman" w:eastAsia="Times New Roman" w:hAnsi="Times New Roman"/>
            <w:sz w:val="18"/>
            <w:szCs w:val="18"/>
            <w:u w:val="single" w:color="auto"/>
            <w:color w:val="0000FF"/>
          </w:rPr>
          <w:t>Amendment No. 2 to Shareablee, Inc. 2013 Stock Option/Stock Issuance Plan (incorporated by reference to Exhibit 99.3 to the Registrant's</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68">
        <w:r>
          <w:rPr>
            <w:rFonts w:ascii="Times New Roman" w:cs="Times New Roman" w:eastAsia="Times New Roman" w:hAnsi="Times New Roman"/>
            <w:sz w:val="18"/>
            <w:szCs w:val="18"/>
            <w:u w:val="single" w:color="auto"/>
            <w:color w:val="0000FF"/>
          </w:rPr>
          <w:t>Amendment No. 3 to Shareablee, Inc. 2013 Stock Option/Stock Issuance Plan (incorporated by reference to Exhibit 99.4 to the Registrant's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Registration Statement on Form S-8, filed December 23, 2021) (File No. 333-261890)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69">
        <w:r>
          <w:rPr>
            <w:rFonts w:ascii="Times New Roman" w:cs="Times New Roman" w:eastAsia="Times New Roman" w:hAnsi="Times New Roman"/>
            <w:sz w:val="18"/>
            <w:szCs w:val="18"/>
            <w:u w:val="single" w:color="auto"/>
            <w:color w:val="0000FF"/>
          </w:rPr>
          <w:t>Transition and Separation Agreement, dated as of February 28, 2022, between comScore, Inc. and William Livek (incorporated by reference</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to Exhibit 10.2 to the Registrant's Current Report on Form 8-K, filed February 28,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70">
        <w:r>
          <w:rPr>
            <w:rFonts w:ascii="Times New Roman" w:cs="Times New Roman" w:eastAsia="Times New Roman" w:hAnsi="Times New Roman"/>
            <w:sz w:val="18"/>
            <w:szCs w:val="18"/>
            <w:u w:val="single" w:color="auto"/>
            <w:color w:val="0000FF"/>
          </w:rPr>
          <w:t>Letter Agreement, dated July 5, 2022, by and between comScore, Inc. and Jonathan Carpenter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the Registrant's Current Report on Form 8-K, filed July 8,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71">
        <w:r>
          <w:rPr>
            <w:rFonts w:ascii="Times New Roman" w:cs="Times New Roman" w:eastAsia="Times New Roman" w:hAnsi="Times New Roman"/>
            <w:sz w:val="18"/>
            <w:szCs w:val="18"/>
            <w:u w:val="single" w:color="auto"/>
            <w:color w:val="0000FF"/>
          </w:rPr>
          <w:t>Letter Agreement, dated July 5, 2022, by and between comScore, Inc. and Mary Margaret Curry (incorporated by reference to Exhibit 10.4 to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the Registrant's Current Report on Form 8-K, filed July 8, 2022) (File No. 001-33520)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72">
        <w:r>
          <w:rPr>
            <w:rFonts w:ascii="Times New Roman" w:cs="Times New Roman" w:eastAsia="Times New Roman" w:hAnsi="Times New Roman"/>
            <w:sz w:val="18"/>
            <w:szCs w:val="18"/>
            <w:u w:val="single" w:color="auto"/>
            <w:color w:val="0000FF"/>
          </w:rPr>
          <w:t>Change of Control Agreement, effective as of July 6, 2022, by and between comScore, Inc. and Mary Margaret Curry (incorporated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 to Exhibit 10.5 to the Registrant's Current Report on Form 8-K, filed July 8,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73">
        <w:r>
          <w:rPr>
            <w:rFonts w:ascii="Times New Roman" w:cs="Times New Roman" w:eastAsia="Times New Roman" w:hAnsi="Times New Roman"/>
            <w:sz w:val="18"/>
            <w:szCs w:val="18"/>
            <w:u w:val="single" w:color="auto"/>
            <w:color w:val="0000FF"/>
          </w:rPr>
          <w:t>Severance Agreement, effective as of July 6, 2022, by and between comScore, Inc. and Mary Margaret Curry (incorporated by reference to</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Exhibit 10.6 to the Registrant's Current Report on Form 8-K, filed July 8, 2022) (File No. 001-33520)</w:t>
        </w:r>
      </w:hyperlink>
    </w:p>
    <w:p>
      <w:pPr>
        <w:spacing w:after="0" w:line="64" w:lineRule="exact"/>
        <w:rPr>
          <w:sz w:val="20"/>
          <w:szCs w:val="20"/>
          <w:color w:val="auto"/>
        </w:rPr>
      </w:pPr>
    </w:p>
    <w:p>
      <w:pPr>
        <w:ind w:left="1020" w:right="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74">
        <w:r>
          <w:rPr>
            <w:rFonts w:ascii="Times New Roman" w:cs="Times New Roman" w:eastAsia="Times New Roman" w:hAnsi="Times New Roman"/>
            <w:sz w:val="18"/>
            <w:szCs w:val="18"/>
            <w:u w:val="single" w:color="auto"/>
            <w:color w:val="0000FF"/>
          </w:rPr>
          <w:t>Form of Performance Restricted Stock Units Award Agreement for CEO (incorporated by reference to Exhibit 10.8 to the Registrant's</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Quarterly Report on Form 10-Q for the period ended June 30, 2022, filed August 9,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75">
        <w:r>
          <w:rPr>
            <w:rFonts w:ascii="Times New Roman" w:cs="Times New Roman" w:eastAsia="Times New Roman" w:hAnsi="Times New Roman"/>
            <w:sz w:val="18"/>
            <w:szCs w:val="18"/>
            <w:u w:val="single" w:color="auto"/>
            <w:color w:val="0000FF"/>
          </w:rPr>
          <w:t>Form of Performance Restricted Stock Units Award Agreement for CFO (incorporated by reference to Exhibit 10.9 to the Registrant's</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Quarterly Report on Form 10-Q for the period ended June 30, 2022, filed August 9,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76">
        <w:r>
          <w:rPr>
            <w:rFonts w:ascii="Times New Roman" w:cs="Times New Roman" w:eastAsia="Times New Roman" w:hAnsi="Times New Roman"/>
            <w:sz w:val="18"/>
            <w:szCs w:val="18"/>
            <w:u w:val="single" w:color="auto"/>
            <w:color w:val="0000FF"/>
          </w:rPr>
          <w:t>Letter Agreement, dated August 22, 2022, by and between comScore, Inc. and Greg Dale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Registrant's Current Report on Form 8-K, filed August 26, 2022) (File No. 001-33520)</w:t>
        </w:r>
      </w:hyperlink>
    </w:p>
    <w:p>
      <w:pPr>
        <w:spacing w:after="0" w:line="64" w:lineRule="exact"/>
        <w:rPr>
          <w:sz w:val="20"/>
          <w:szCs w:val="20"/>
          <w:color w:val="auto"/>
        </w:rPr>
      </w:pPr>
    </w:p>
    <w:p>
      <w:pPr>
        <w:ind w:left="1020" w:hanging="998"/>
        <w:spacing w:after="0" w:line="237"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77">
        <w:r>
          <w:rPr>
            <w:rFonts w:ascii="Times New Roman" w:cs="Times New Roman" w:eastAsia="Times New Roman" w:hAnsi="Times New Roman"/>
            <w:sz w:val="18"/>
            <w:szCs w:val="18"/>
            <w:u w:val="single" w:color="auto"/>
            <w:color w:val="0000FF"/>
          </w:rPr>
          <w:t>Change of Control Agreement, effective as of August 23, 2022, by and between comScore, Inc. and Greg Dale (incorporated by reference to</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Exhibit 10.2 to the Registrant's Current Report on Form 8-K, filed August 26, 2022) (File No. 001-33520)</w:t>
        </w:r>
      </w:hyperlink>
    </w:p>
    <w:p>
      <w:pPr>
        <w:spacing w:after="0" w:line="52" w:lineRule="exact"/>
        <w:rPr>
          <w:sz w:val="20"/>
          <w:szCs w:val="20"/>
          <w:color w:val="auto"/>
        </w:rPr>
      </w:pPr>
    </w:p>
    <w:p>
      <w:pPr>
        <w:ind w:left="20"/>
        <w:spacing w:after="0"/>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78">
        <w:r>
          <w:rPr>
            <w:rFonts w:ascii="Times New Roman" w:cs="Times New Roman" w:eastAsia="Times New Roman" w:hAnsi="Times New Roman"/>
            <w:sz w:val="18"/>
            <w:szCs w:val="18"/>
            <w:u w:val="single" w:color="auto"/>
            <w:color w:val="0000FF"/>
          </w:rPr>
          <w:t>Severance Agreement, effective as of August 23, 2022, by and between comScore, Inc. and Greg Dale (incorporated by reference to Exhibit</w:t>
        </w:r>
      </w:hyperlink>
    </w:p>
    <w:p>
      <w:pPr>
        <w:ind w:left="1020"/>
        <w:spacing w:after="0"/>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10.3 to the Registrant's Current Report on Form 8-K, filed August 26, 2022) (File No. 001-33520)</w:t>
        </w:r>
      </w:hyperlink>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Performance Restricted Stock Units Award Agreement for COO (incorporated by reference to Exhibit 10.12 to the Registrant's</w:t>
              </w:r>
            </w:hyperlink>
          </w:p>
        </w:tc>
      </w:tr>
      <w:tr>
        <w:trPr>
          <w:trHeight w:val="155"/>
        </w:trPr>
        <w:tc>
          <w:tcPr>
            <w:tcW w:w="10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Quarterly Report on Form 10-Q for the period ended September 30, 2022, filed November 9, 2022) (File No. 001-33520)</w:t>
              </w:r>
            </w:hyperlink>
          </w:p>
        </w:tc>
        <w:tc>
          <w:tcPr>
            <w:tcW w:w="1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Restricted Stock Units Award Agreement, dated June 6, 2023, under Shareablee, Inc. 2013 Stock Option/Stock Issuance Plan</w:t>
              </w:r>
            </w:hyperlink>
          </w:p>
        </w:tc>
      </w:tr>
      <w:tr>
        <w:trPr>
          <w:trHeight w:val="155"/>
        </w:trPr>
        <w:tc>
          <w:tcPr>
            <w:tcW w:w="1020" w:type="dxa"/>
            <w:vAlign w:val="bottom"/>
          </w:tcPr>
          <w:p>
            <w:pPr>
              <w:spacing w:after="0"/>
              <w:rPr>
                <w:sz w:val="13"/>
                <w:szCs w:val="13"/>
                <w:color w:val="auto"/>
              </w:rPr>
            </w:pPr>
          </w:p>
        </w:tc>
        <w:tc>
          <w:tcPr>
            <w:tcW w:w="96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(incorporated by reference to Exhibit 10.55 to the Registrant's Annual Report on Form 10-K for the period ended December 31, 2023,</w:t>
              </w:r>
            </w:hyperlink>
          </w:p>
        </w:tc>
        <w:tc>
          <w:tcPr>
            <w:tcW w:w="960" w:type="dxa"/>
            <w:vAlign w:val="bottom"/>
            <w:gridSpan w:val="25"/>
          </w:tcPr>
          <w:p>
            <w:pPr>
              <w:ind w:left="60"/>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filed</w:t>
              </w:r>
            </w:hyperlink>
          </w:p>
        </w:tc>
      </w:tr>
      <w:tr>
        <w:trPr>
          <w:trHeight w:val="169"/>
        </w:trPr>
        <w:tc>
          <w:tcPr>
            <w:tcW w:w="1020" w:type="dxa"/>
            <w:vAlign w:val="bottom"/>
          </w:tcPr>
          <w:p>
            <w:pPr>
              <w:spacing w:after="0"/>
              <w:rPr>
                <w:sz w:val="14"/>
                <w:szCs w:val="14"/>
                <w:color w:val="auto"/>
              </w:rPr>
            </w:pPr>
          </w:p>
        </w:tc>
        <w:tc>
          <w:tcPr>
            <w:tcW w:w="100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March 12, 2024) (File No. 001-33520)</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Amendment to Performance Restricted Stock Units Award Agreement, dated December 20, 2023 (incorporated by reference to</w:t>
              </w:r>
            </w:hyperlink>
          </w:p>
        </w:tc>
      </w:tr>
      <w:tr>
        <w:trPr>
          <w:trHeight w:val="156"/>
        </w:trPr>
        <w:tc>
          <w:tcPr>
            <w:tcW w:w="1020" w:type="dxa"/>
            <w:vAlign w:val="bottom"/>
          </w:tcPr>
          <w:p>
            <w:pPr>
              <w:spacing w:after="0"/>
              <w:rPr>
                <w:sz w:val="13"/>
                <w:szCs w:val="13"/>
                <w:color w:val="auto"/>
              </w:rPr>
            </w:pPr>
          </w:p>
        </w:tc>
        <w:tc>
          <w:tcPr>
            <w:tcW w:w="1036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Exhibit 10.56 to the Registrant's Annual Report on Form 10-K for the period ended December 31, 2023, filed March 12, 2024)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82">
              <w:r>
                <w:rPr>
                  <w:rFonts w:ascii="Times New Roman" w:cs="Times New Roman" w:eastAsia="Times New Roman" w:hAnsi="Times New Roman"/>
                  <w:sz w:val="18"/>
                  <w:szCs w:val="18"/>
                  <w:color w:val="0000FF"/>
                  <w:w w:val="97"/>
                </w:rPr>
                <w:t>33520)</w:t>
              </w:r>
            </w:hyperlink>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Separation and General Release Agreement, dated as of January 27, 2025, by and between comScore, Inc. and David Algranati (incorporated</w:t>
              </w:r>
            </w:hyperlink>
          </w:p>
        </w:tc>
      </w:tr>
      <w:tr>
        <w:trPr>
          <w:trHeight w:val="156"/>
        </w:trPr>
        <w:tc>
          <w:tcPr>
            <w:tcW w:w="1020" w:type="dxa"/>
            <w:vAlign w:val="bottom"/>
          </w:tcPr>
          <w:p>
            <w:pPr>
              <w:spacing w:after="0"/>
              <w:rPr>
                <w:sz w:val="13"/>
                <w:szCs w:val="13"/>
                <w:color w:val="auto"/>
              </w:rPr>
            </w:pPr>
          </w:p>
        </w:tc>
        <w:tc>
          <w:tcPr>
            <w:tcW w:w="10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by reference to Exhibit 10.50 to the Registrant's Annual Report on Form 10-K for the period ended December 31, 2024, filed March 6,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(File No. 001-33520)</w:t>
              </w:r>
            </w:hyperlink>
          </w:p>
        </w:tc>
        <w:tc>
          <w:tcPr>
            <w:tcW w:w="87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comScore, Inc. Cash Incentive Plan (incorporated by reference to Exhibit 10.1 to the Registrant's Current Report on Form 8-K, filed May 24,</w:t>
              </w:r>
            </w:hyperlink>
          </w:p>
        </w:tc>
      </w:tr>
      <w:tr>
        <w:trPr>
          <w:trHeight w:val="156"/>
        </w:trPr>
        <w:tc>
          <w:tcPr>
            <w:tcW w:w="1020" w:type="dxa"/>
            <w:vAlign w:val="bottom"/>
          </w:tcPr>
          <w:p>
            <w:pPr>
              <w:spacing w:after="0"/>
              <w:rPr>
                <w:sz w:val="13"/>
                <w:szCs w:val="13"/>
                <w:color w:val="auto"/>
              </w:rPr>
            </w:pPr>
          </w:p>
        </w:tc>
        <w:tc>
          <w:tcPr>
            <w:tcW w:w="105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2024)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comScore, Inc. Cash Incentive Plan Participation Agreement for Employees (incorporated by reference to Exhibit 10.4 to the</w:t>
              </w:r>
            </w:hyperlink>
          </w:p>
        </w:tc>
      </w:tr>
      <w:tr>
        <w:trPr>
          <w:trHeight w:val="156"/>
        </w:trPr>
        <w:tc>
          <w:tcPr>
            <w:tcW w:w="1020" w:type="dxa"/>
            <w:vAlign w:val="bottom"/>
          </w:tcPr>
          <w:p>
            <w:pPr>
              <w:spacing w:after="0"/>
              <w:rPr>
                <w:sz w:val="13"/>
                <w:szCs w:val="13"/>
                <w:color w:val="auto"/>
              </w:rPr>
            </w:pPr>
          </w:p>
        </w:tc>
        <w:tc>
          <w:tcPr>
            <w:tcW w:w="105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Registrant's Quarterly Report on Form 10-Q for the period ended June 30, 2024, filed August 9, 2024)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Change of Control Agreement, effective as of March 27, 2024, by and between comScore, Inc. and Steve Bagdasarian (incorporated by</w:t>
              </w:r>
            </w:hyperlink>
          </w:p>
        </w:tc>
      </w:tr>
      <w:tr>
        <w:trPr>
          <w:trHeight w:val="156"/>
        </w:trPr>
        <w:tc>
          <w:tcPr>
            <w:tcW w:w="1020" w:type="dxa"/>
            <w:vAlign w:val="bottom"/>
          </w:tcPr>
          <w:p>
            <w:pPr>
              <w:spacing w:after="0"/>
              <w:rPr>
                <w:sz w:val="13"/>
                <w:szCs w:val="13"/>
                <w:color w:val="auto"/>
              </w:rPr>
            </w:pPr>
          </w:p>
        </w:tc>
        <w:tc>
          <w:tcPr>
            <w:tcW w:w="104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reference to Exhibit 10.1 to the Registrant's Quarterly Report on Form 10-Q for the period ended March 31, 2024, filed May 10, 2024) (File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No. 001-33520)</w:t>
              </w:r>
            </w:hyperlink>
          </w:p>
        </w:tc>
        <w:tc>
          <w:tcPr>
            <w:tcW w:w="92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Severance Agreement, effective as of March 27, 2024, by and between comScore, Inc. and Steve Bagdasarian (incorporated by reference to</w:t>
              </w:r>
            </w:hyperlink>
          </w:p>
        </w:tc>
      </w:tr>
      <w:tr>
        <w:trPr>
          <w:trHeight w:val="155"/>
        </w:trPr>
        <w:tc>
          <w:tcPr>
            <w:tcW w:w="1020" w:type="dxa"/>
            <w:vAlign w:val="bottom"/>
          </w:tcPr>
          <w:p>
            <w:pPr>
              <w:spacing w:after="0"/>
              <w:rPr>
                <w:sz w:val="13"/>
                <w:szCs w:val="13"/>
                <w:color w:val="auto"/>
              </w:rPr>
            </w:pPr>
          </w:p>
        </w:tc>
        <w:tc>
          <w:tcPr>
            <w:tcW w:w="105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Exhibit 10.2 to the Registrant's Quarterly Report on Form 10-Q for the period ended March 31, 2024, filed May 10,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250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Financing Agreement, dated as of December 31, 2024, by and among comScore, Inc. (as administrative borrower), certain subsidiaries of the</w:t>
              </w:r>
            </w:hyperlink>
          </w:p>
        </w:tc>
      </w:tr>
      <w:tr>
        <w:trPr>
          <w:trHeight w:val="156"/>
        </w:trPr>
        <w:tc>
          <w:tcPr>
            <w:tcW w:w="102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administrative borrower (as guarantors), Blue Torch Finance LLC (as administrative agent and collateral agent) and the lenders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974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(incorporated by reference to Exhibit 10.2 to the Registrant's Current Report on Form 8-K, filed January 7, 2025) (File No. 001-33520)</w:t>
              </w:r>
            </w:hyperlink>
          </w:p>
        </w:tc>
        <w:tc>
          <w:tcPr>
            <w:tcW w:w="780" w:type="dxa"/>
            <w:vAlign w:val="bottom"/>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No. 1 to Financing Agreement, dated as of September 26, 2025, by and between comScore Inc., each subsidiary of comScore,</w:t>
              </w:r>
            </w:hyperlink>
          </w:p>
        </w:tc>
      </w:tr>
      <w:tr>
        <w:trPr>
          <w:trHeight w:val="156"/>
        </w:trPr>
        <w:tc>
          <w:tcPr>
            <w:tcW w:w="1020" w:type="dxa"/>
            <w:vAlign w:val="bottom"/>
          </w:tcPr>
          <w:p>
            <w:pPr>
              <w:spacing w:after="0"/>
              <w:rPr>
                <w:sz w:val="13"/>
                <w:szCs w:val="13"/>
                <w:color w:val="auto"/>
              </w:rPr>
            </w:pPr>
          </w:p>
        </w:tc>
        <w:tc>
          <w:tcPr>
            <w:tcW w:w="102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 from time to time party thereto as a guarantor, each lender from time to time party thereto, and Blue Torch Finance LLC (incorporated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92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by reference to Exhibit 10.8 to the Registrant's Current Report on Form 8-K, filed on September 29, 2025) (File No 001-33520)</w:t>
              </w:r>
            </w:hyperlink>
          </w:p>
        </w:tc>
        <w:tc>
          <w:tcPr>
            <w:tcW w:w="10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Pledge and Security Agreement, dated as of December 31, 2024, by and among comScore, Inc. and certain subsidiaries of comScore, Inc. (as</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guarantors) and Blue Torch Finance LLC (as collateral agent) (incorporated by reference to Exhibit 10.3 to the Registrant's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580" w:type="dxa"/>
            <w:vAlign w:val="bottom"/>
            <w:gridSpan w:val="40"/>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8-K, filed January 7, 2025) (File No. 001-33520)</w:t>
              </w:r>
            </w:hyperlink>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Stock Exchange Agreement, dated as of September 26, 2025, by and between comScore, Inc. and Charter Communications Holding</w:t>
              </w:r>
            </w:hyperlink>
          </w:p>
        </w:tc>
      </w:tr>
      <w:tr>
        <w:trPr>
          <w:trHeight w:val="155"/>
        </w:trPr>
        <w:tc>
          <w:tcPr>
            <w:tcW w:w="1020" w:type="dxa"/>
            <w:vAlign w:val="bottom"/>
          </w:tcPr>
          <w:p>
            <w:pPr>
              <w:spacing w:after="0"/>
              <w:rPr>
                <w:sz w:val="13"/>
                <w:szCs w:val="13"/>
                <w:color w:val="auto"/>
              </w:rPr>
            </w:pPr>
          </w:p>
        </w:tc>
        <w:tc>
          <w:tcPr>
            <w:tcW w:w="10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Company, LLC (incorporated by reference to Exhibit 10.1 to the Registrant's Current Report on Form 8-K, filed on September 29, 2025)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(File No. 001-33520)</w:t>
              </w:r>
            </w:hyperlink>
          </w:p>
        </w:tc>
        <w:tc>
          <w:tcPr>
            <w:tcW w:w="8680" w:type="dxa"/>
            <w:vAlign w:val="bottom"/>
            <w:tcBorders>
              <w:top w:val="single" w:sz="8" w:color="0000FF"/>
            </w:tcBorders>
            <w:gridSpan w:val="18"/>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Stock Exchange Agreement, dated as of September 26, 2025, by and between comScore, Inc. and Liberty Broadband Corporation</w:t>
              </w:r>
            </w:hyperlink>
          </w:p>
        </w:tc>
      </w:tr>
      <w:tr>
        <w:trPr>
          <w:trHeight w:val="155"/>
        </w:trPr>
        <w:tc>
          <w:tcPr>
            <w:tcW w:w="102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(incorporated by reference to Exhibit 10.2 to the Registrant's Current Report on Form 8-K, filed on September 29, 2025) (File No.</w:t>
              </w:r>
            </w:hyperlink>
          </w:p>
        </w:tc>
        <w:tc>
          <w:tcPr>
            <w:tcW w:w="700" w:type="dxa"/>
            <w:vAlign w:val="bottom"/>
            <w:gridSpan w:val="4"/>
          </w:tcPr>
          <w:p>
            <w:pPr>
              <w:jc w:val="right"/>
              <w:ind w:right="300"/>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001-</w:t>
              </w:r>
            </w:hyperlink>
          </w:p>
        </w:tc>
        <w:tc>
          <w:tcPr>
            <w:tcW w:w="3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92">
              <w:r>
                <w:rPr>
                  <w:rFonts w:ascii="Times New Roman" w:cs="Times New Roman" w:eastAsia="Times New Roman" w:hAnsi="Times New Roman"/>
                  <w:sz w:val="18"/>
                  <w:szCs w:val="18"/>
                  <w:color w:val="0000FF"/>
                  <w:w w:val="97"/>
                </w:rPr>
                <w:t>33520)</w:t>
              </w:r>
            </w:hyperlink>
          </w:p>
        </w:tc>
        <w:tc>
          <w:tcPr>
            <w:tcW w:w="6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2500" w:type="dxa"/>
            <w:vAlign w:val="bottom"/>
            <w:tcBorders>
              <w:top w:val="single" w:sz="8" w:color="0000FF"/>
            </w:tcBorders>
          </w:tcPr>
          <w:p>
            <w:pPr>
              <w:spacing w:after="0"/>
              <w:rPr>
                <w:sz w:val="14"/>
                <w:szCs w:val="14"/>
                <w:color w:val="auto"/>
              </w:rPr>
            </w:pPr>
          </w:p>
        </w:tc>
        <w:tc>
          <w:tcPr>
            <w:tcW w:w="2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Stock Exchange Agreement, dated as of September 26, 2025, by and between comScore, Inc. and Pine Investor, LLC (incorporated by</w:t>
              </w:r>
            </w:hyperlink>
          </w:p>
        </w:tc>
      </w:tr>
      <w:tr>
        <w:trPr>
          <w:trHeight w:val="155"/>
        </w:trPr>
        <w:tc>
          <w:tcPr>
            <w:tcW w:w="102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reference to Exhibit 10.3 to the Registrant's Current Report on Form 8-K, filed on September 29, 2025) (File No. 001-33520)</w:t>
              </w:r>
            </w:hyperlink>
          </w:p>
        </w:tc>
        <w:tc>
          <w:tcPr>
            <w:tcW w:w="1440" w:type="dxa"/>
            <w:vAlign w:val="bottom"/>
            <w:tcBorders>
              <w:top w:val="single" w:sz="8" w:color="0000FF"/>
            </w:tcBorders>
            <w:gridSpan w:val="21"/>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Stockholder Support Agreement, dated as of September 26, 2025, by and between comScore, Inc. and Charter Communications Holding</w:t>
              </w:r>
            </w:hyperlink>
          </w:p>
        </w:tc>
      </w:tr>
      <w:tr>
        <w:trPr>
          <w:trHeight w:val="155"/>
        </w:trPr>
        <w:tc>
          <w:tcPr>
            <w:tcW w:w="102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Company, LLC (incorporated by reference to Exhibit 10.4 to the Registrant's Current Report on Form 8-K, filed September 29, 2025) (File</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No. 001-33520)</w:t>
              </w:r>
            </w:hyperlink>
          </w:p>
        </w:tc>
        <w:tc>
          <w:tcPr>
            <w:tcW w:w="9400" w:type="dxa"/>
            <w:vAlign w:val="bottom"/>
            <w:tcBorders>
              <w:top w:val="single" w:sz="8" w:color="0000FF"/>
            </w:tcBorders>
            <w:gridSpan w:val="3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Stockholder Support Agreement, dated as of September 26, 2025, by and between comScore, Inc. and Liberty Broadband Corporation</w:t>
              </w:r>
            </w:hyperlink>
          </w:p>
        </w:tc>
      </w:tr>
      <w:tr>
        <w:trPr>
          <w:trHeight w:val="155"/>
        </w:trPr>
        <w:tc>
          <w:tcPr>
            <w:tcW w:w="10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(incorporated by reference to Exhibit 10.5 to the Registrant's Current Report on Form 8-K, filed September 29, 2025) (File No. 001-33520)</w:t>
              </w:r>
            </w:hyperlink>
          </w:p>
        </w:tc>
        <w:tc>
          <w:tcPr>
            <w:tcW w:w="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Stockholder Support Agreement, dated as of September 26, 2025, by and between comScore, Inc. and Pine Investor, LLC (incorporated by</w:t>
              </w:r>
            </w:hyperlink>
          </w:p>
        </w:tc>
      </w:tr>
      <w:tr>
        <w:trPr>
          <w:trHeight w:val="155"/>
        </w:trPr>
        <w:tc>
          <w:tcPr>
            <w:tcW w:w="10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reference to Exhibit 10.6 to the Registrant's Current Report on Form 8-K, filed September 29, 2025) (File No. 001-33520)</w:t>
              </w:r>
            </w:hyperlink>
          </w:p>
        </w:tc>
        <w:tc>
          <w:tcPr>
            <w:tcW w:w="16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600" w:type="dxa"/>
            <w:vAlign w:val="bottom"/>
            <w:gridSpan w:val="4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comScore, Inc. Insider Trading Policy, as amended and restated effective September 26, 2024 (incorporated by reference to Exhibit 19.1 to</w:t>
              </w:r>
            </w:hyperlink>
          </w:p>
        </w:tc>
      </w:tr>
      <w:tr>
        <w:trPr>
          <w:trHeight w:val="155"/>
        </w:trPr>
        <w:tc>
          <w:tcPr>
            <w:tcW w:w="10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the Registrant's Annual Report on Form 10-K, filed March 6, 2025) (File No. 001-33520)</w:t>
              </w:r>
            </w:hyperlink>
          </w:p>
        </w:tc>
        <w:tc>
          <w:tcPr>
            <w:tcW w:w="3980" w:type="dxa"/>
            <w:vAlign w:val="bottom"/>
            <w:tcBorders>
              <w:top w:val="single" w:sz="8" w:color="0000FF"/>
            </w:tcBorders>
            <w:gridSpan w:val="2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60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0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60" w:type="dxa"/>
            <w:vAlign w:val="bottom"/>
            <w:gridSpan w:val="35"/>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w:t>
            </w:r>
          </w:p>
        </w:tc>
        <w:tc>
          <w:tcPr>
            <w:tcW w:w="8060" w:type="dxa"/>
            <w:vAlign w:val="bottom"/>
            <w:gridSpan w:val="35"/>
          </w:tcPr>
          <w:p>
            <w:pPr>
              <w:spacing w:after="0"/>
              <w:rPr>
                <w:sz w:val="22"/>
                <w:szCs w:val="22"/>
                <w:color w:val="auto"/>
              </w:rPr>
            </w:pPr>
          </w:p>
        </w:tc>
      </w:tr>
      <w:tr>
        <w:trPr>
          <w:trHeight w:val="817"/>
        </w:trPr>
        <w:tc>
          <w:tcPr>
            <w:tcW w:w="1020" w:type="dxa"/>
            <w:vAlign w:val="bottom"/>
          </w:tcPr>
          <w:p>
            <w:pPr>
              <w:spacing w:after="0"/>
              <w:rPr>
                <w:sz w:val="24"/>
                <w:szCs w:val="24"/>
                <w:color w:val="auto"/>
              </w:rPr>
            </w:pPr>
          </w:p>
        </w:tc>
        <w:tc>
          <w:tcPr>
            <w:tcW w:w="6460" w:type="dxa"/>
            <w:vAlign w:val="bottom"/>
            <w:gridSpan w:val="9"/>
          </w:tcPr>
          <w:p>
            <w:pPr>
              <w:ind w:left="4520"/>
              <w:spacing w:after="0"/>
              <w:rPr>
                <w:sz w:val="20"/>
                <w:szCs w:val="20"/>
                <w:color w:val="auto"/>
              </w:rPr>
            </w:pPr>
            <w:r>
              <w:rPr>
                <w:rFonts w:ascii="Times New Roman" w:cs="Times New Roman" w:eastAsia="Times New Roman" w:hAnsi="Times New Roman"/>
                <w:sz w:val="18"/>
                <w:szCs w:val="18"/>
                <w:color w:val="auto"/>
              </w:rPr>
              <w:t>91</w:t>
            </w: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r>
      <w:tr>
        <w:trPr>
          <w:trHeight w:val="156"/>
        </w:trPr>
        <w:tc>
          <w:tcPr>
            <w:tcW w:w="1000" w:type="dxa"/>
            <w:vAlign w:val="bottom"/>
          </w:tcPr>
          <w:p>
            <w:pPr>
              <w:spacing w:after="0"/>
              <w:rPr>
                <w:sz w:val="13"/>
                <w:szCs w:val="13"/>
                <w:color w:val="auto"/>
              </w:rPr>
            </w:pPr>
          </w:p>
        </w:tc>
        <w:tc>
          <w:tcPr>
            <w:tcW w:w="102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 as</w:t>
            </w:r>
          </w:p>
        </w:tc>
      </w:tr>
      <w:tr>
        <w:trPr>
          <w:trHeight w:val="156"/>
        </w:trPr>
        <w:tc>
          <w:tcPr>
            <w:tcW w:w="1000" w:type="dxa"/>
            <w:vAlign w:val="bottom"/>
          </w:tcPr>
          <w:p>
            <w:pPr>
              <w:spacing w:after="0"/>
              <w:rPr>
                <w:sz w:val="13"/>
                <w:szCs w:val="13"/>
                <w:color w:val="auto"/>
              </w:rPr>
            </w:pPr>
          </w:p>
        </w:tc>
        <w:tc>
          <w:tcPr>
            <w:tcW w:w="102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56"/>
        </w:trPr>
        <w:tc>
          <w:tcPr>
            <w:tcW w:w="1000" w:type="dxa"/>
            <w:vAlign w:val="bottom"/>
          </w:tcPr>
          <w:p>
            <w:pPr>
              <w:spacing w:after="0"/>
              <w:rPr>
                <w:sz w:val="13"/>
                <w:szCs w:val="13"/>
                <w:color w:val="auto"/>
              </w:rPr>
            </w:pPr>
          </w:p>
        </w:tc>
        <w:tc>
          <w:tcPr>
            <w:tcW w:w="102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56"/>
        </w:trPr>
        <w:tc>
          <w:tcPr>
            <w:tcW w:w="1000" w:type="dxa"/>
            <w:vAlign w:val="bottom"/>
          </w:tcPr>
          <w:p>
            <w:pPr>
              <w:spacing w:after="0"/>
              <w:rPr>
                <w:sz w:val="13"/>
                <w:szCs w:val="13"/>
                <w:color w:val="auto"/>
              </w:rPr>
            </w:pPr>
          </w:p>
        </w:tc>
        <w:tc>
          <w:tcPr>
            <w:tcW w:w="102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280" w:type="dxa"/>
            <w:vAlign w:val="bottom"/>
            <w:gridSpan w:val="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comScore, Inc. Clawback Policy, as amended and restated effective October 2, 2023 (incorporated by reference to Exhibit 97.1 to the</w:t>
              </w:r>
            </w:hyperlink>
          </w:p>
        </w:tc>
      </w:tr>
      <w:tr>
        <w:trPr>
          <w:trHeight w:val="156"/>
        </w:trPr>
        <w:tc>
          <w:tcPr>
            <w:tcW w:w="100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Registrant's Annual Report on Form 10-K for the period ended December 31, 2023, filed March 12, 2024) (File No. 001-33520)</w:t>
              </w:r>
            </w:hyperlink>
          </w:p>
        </w:tc>
        <w:tc>
          <w:tcPr>
            <w:tcW w:w="360" w:type="dxa"/>
            <w:vAlign w:val="bottom"/>
            <w:tcBorders>
              <w:top w:val="single" w:sz="8" w:color="0000FF"/>
            </w:tcBorders>
          </w:tcPr>
          <w:p>
            <w:pPr>
              <w:spacing w:after="0"/>
              <w:rPr>
                <w:sz w:val="13"/>
                <w:szCs w:val="13"/>
                <w:color w:val="auto"/>
              </w:rPr>
            </w:pPr>
          </w:p>
        </w:tc>
        <w:tc>
          <w:tcPr>
            <w:tcW w:w="680" w:type="dxa"/>
            <w:vAlign w:val="bottom"/>
            <w:gridSpan w:val="5"/>
          </w:tcPr>
          <w:p>
            <w:pPr>
              <w:spacing w:after="0"/>
              <w:rPr>
                <w:sz w:val="13"/>
                <w:szCs w:val="13"/>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00" w:type="dxa"/>
            <w:vAlign w:val="bottom"/>
          </w:tcPr>
          <w:p>
            <w:pPr>
              <w:spacing w:after="0"/>
              <w:rPr>
                <w:sz w:val="20"/>
                <w:szCs w:val="20"/>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820" w:right="2160" w:hanging="794"/>
        <w:spacing w:after="0" w:line="328" w:lineRule="auto"/>
        <w:tabs>
          <w:tab w:leader="none" w:pos="10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iXBRL tags are embedded within the Inline XBRL document * Management contract or compensatory plan or arrangement</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77" w:lineRule="exact"/>
        <w:rPr>
          <w:sz w:val="20"/>
          <w:szCs w:val="20"/>
          <w:color w:val="auto"/>
        </w:rPr>
      </w:pPr>
    </w:p>
    <w:p>
      <w:pPr>
        <w:ind w:left="820" w:right="100" w:firstLine="201"/>
        <w:spacing w:after="0" w:line="297" w:lineRule="auto"/>
        <w:rPr>
          <w:sz w:val="20"/>
          <w:szCs w:val="20"/>
          <w:color w:val="auto"/>
        </w:rPr>
      </w:pPr>
      <w:r>
        <w:rPr>
          <w:rFonts w:ascii="Times New Roman" w:cs="Times New Roman" w:eastAsia="Times New Roman" w:hAnsi="Times New Roman"/>
          <w:sz w:val="18"/>
          <w:szCs w:val="18"/>
          <w:color w:val="auto"/>
        </w:rPr>
        <w:t>Specific terms in this exhibit (indicated therein by asterisks) have been omitted because such terms are both not material and of the type that ^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COM</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CORE</w:t>
      </w:r>
      <w:r>
        <w:rPr>
          <w:rFonts w:ascii="Times New Roman" w:cs="Times New Roman" w:eastAsia="Times New Roman" w:hAnsi="Times New Roman"/>
          <w:sz w:val="17"/>
          <w:szCs w:val="17"/>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7"/>
          <w:szCs w:val="17"/>
          <w:color w:val="auto"/>
        </w:rPr>
        <w: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 Jonathan Carpenter</w:t>
            </w:r>
          </w:p>
        </w:tc>
      </w:tr>
      <w:tr>
        <w:trPr>
          <w:trHeight w:val="218"/>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Jonathan Carpenter</w:t>
            </w:r>
          </w:p>
        </w:tc>
        <w:tc>
          <w:tcPr>
            <w:tcW w:w="1480" w:type="dxa"/>
            <w:vAlign w:val="bottom"/>
          </w:tcPr>
          <w:p>
            <w:pPr>
              <w:spacing w:after="0"/>
              <w:rPr>
                <w:sz w:val="18"/>
                <w:szCs w:val="18"/>
                <w:color w:val="auto"/>
              </w:rPr>
            </w:pPr>
          </w:p>
        </w:tc>
      </w:tr>
      <w:tr>
        <w:trPr>
          <w:trHeight w:val="229"/>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0"/>
        </w:trPr>
        <w:tc>
          <w:tcPr>
            <w:tcW w:w="546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 Mary Margaret Curry</w:t>
            </w:r>
          </w:p>
        </w:tc>
      </w:tr>
      <w:tr>
        <w:trPr>
          <w:trHeight w:val="218"/>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Mary Margaret Curry</w:t>
            </w:r>
          </w:p>
        </w:tc>
        <w:tc>
          <w:tcPr>
            <w:tcW w:w="1480" w:type="dxa"/>
            <w:vAlign w:val="bottom"/>
          </w:tcPr>
          <w:p>
            <w:pPr>
              <w:spacing w:after="0"/>
              <w:rPr>
                <w:sz w:val="18"/>
                <w:szCs w:val="18"/>
                <w:color w:val="auto"/>
              </w:rPr>
            </w:pPr>
          </w:p>
        </w:tc>
      </w:t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80"/>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gridSpan w:val="2"/>
          </w:tcPr>
          <w:p>
            <w:pPr>
              <w:jc w:val="center"/>
              <w:ind w:right="148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31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March 25, 2026</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48"/>
        </w:trPr>
        <w:tc>
          <w:tcPr>
            <w:tcW w:w="5460" w:type="dxa"/>
            <w:vAlign w:val="bottom"/>
          </w:tcPr>
          <w:p>
            <w:pPr>
              <w:spacing w:after="0"/>
              <w:rPr>
                <w:sz w:val="24"/>
                <w:szCs w:val="24"/>
                <w:color w:val="auto"/>
              </w:rPr>
            </w:pPr>
          </w:p>
        </w:tc>
        <w:tc>
          <w:tcPr>
            <w:tcW w:w="4300" w:type="dxa"/>
            <w:vAlign w:val="bottom"/>
            <w:gridSpan w:val="2"/>
          </w:tcPr>
          <w:p>
            <w:pPr>
              <w:jc w:val="right"/>
              <w:ind w:right="395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w:t>
      </w:r>
      <w:r>
        <w:rPr>
          <w:rFonts w:ascii="Times New Roman" w:cs="Times New Roman" w:eastAsia="Times New Roman" w:hAnsi="Times New Roman"/>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80" w:type="dxa"/>
            <w:vAlign w:val="bottom"/>
            <w:gridSpan w:val="2"/>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Jonathan Carpenter</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Jonathan Carpenter</w:t>
            </w:r>
          </w:p>
        </w:tc>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Mary Margaret Curry</w:t>
            </w:r>
          </w:p>
        </w:tc>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Mary Margaret Curry</w:t>
            </w:r>
          </w:p>
        </w:tc>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Davenport</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Robert Davenport</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Kline</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Kline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William P. Livek</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William P. Livek</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Matthew McLaughlin</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Matthew McLaughlin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Murphy</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Jeffrey Murphy</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9"/>
        </w:trPr>
        <w:tc>
          <w:tcPr>
            <w:tcW w:w="2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Brian Wendling</w:t>
            </w:r>
          </w:p>
        </w:tc>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gridSpan w:val="3"/>
          </w:tcPr>
          <w:p>
            <w:pPr>
              <w:jc w:val="center"/>
              <w:ind w:left="512"/>
              <w:spacing w:after="0"/>
              <w:rPr>
                <w:sz w:val="20"/>
                <w:szCs w:val="20"/>
                <w:color w:val="auto"/>
              </w:rPr>
            </w:pPr>
            <w:r>
              <w:rPr>
                <w:rFonts w:ascii="Times New Roman" w:cs="Times New Roman" w:eastAsia="Times New Roman" w:hAnsi="Times New Roman"/>
                <w:sz w:val="18"/>
                <w:szCs w:val="18"/>
                <w:color w:val="auto"/>
                <w:w w:val="99"/>
              </w:rPr>
              <w:t>March 25, 2026</w:t>
            </w:r>
          </w:p>
        </w:tc>
      </w:tr>
      <w:tr>
        <w:trPr>
          <w:trHeight w:val="228"/>
        </w:trPr>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Brian Wendling</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w:t>
      </w:r>
      <w:r>
        <w:rPr>
          <w:rFonts w:ascii="Times New Roman" w:cs="Times New Roman" w:eastAsia="Times New Roman" w:hAnsi="Times New Roman"/>
          <w:sz w:val="17"/>
          <w:szCs w:val="17"/>
          <w:u w:val="single" w:color="auto"/>
          <w:color w:val="0019FF"/>
        </w:rPr>
        <w:t>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3307715</wp:posOffset>
            </wp:positionV>
            <wp:extent cx="3686175" cy="6172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6">
                      <a:extLst>
                        <a:ext uri="{28A0092B-C50C-407E-A947-70E740481C1C}"/>
                      </a:extLst>
                    </a:blip>
                    <a:srcRect/>
                    <a:stretch>
                      <a:fillRect/>
                    </a:stretch>
                  </pic:blipFill>
                  <pic:spPr bwMode="auto">
                    <a:xfrm>
                      <a:off x="0" y="0"/>
                      <a:ext cx="3686175" cy="6172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9" w:name="page100"/>
    <w:bookmarkEnd w:id="99"/>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following is a summary of the material terms of our securities registered under Section 12 of the Securities Exchange Act of 1934, as amended (the "Exchange Act"), as of December 31, 2025. The summary is subject to and qualified in its entirety by reference to our amended and restated certificate of incorporation and bylaws, each of which is incorporated by reference as an exhibit to the Annual Report on Form 10-K of which this exhibit is a part. The following also summarizes certain provisions of the Delaware General Corporation Law (the "DGCL") and is subject to and qualified by reference to the DGCL.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Our authorized capital stock consists of 46,000,000 shares of common stock, par value $0.001 per share, and 14,000,000 shares of preferred stock, par value $0.001 per share. Our Board of Directors ("Board") may establish the rights and preferences of the preferred stock from time to time. As of December 31, 2025, there were 14,876,139 shares of common stock issued and outstanding, held of record by 110 stockholders, although we believe that there may be a significantly larger number of beneficial owners of our common stock. We derived the number of stockholders by reviewing the listing of outstanding common stock recorded by our transfer agent as of December 31, 2025.</w:t>
      </w:r>
    </w:p>
    <w:p>
      <w:pPr>
        <w:spacing w:after="0" w:line="1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Of the authorized preferred stock, as of December 31, 2025, 12,670,863 shares were designated as Series C Convertible Preferred Stock, of which 12,670,863 shares were outstanding. The Series C Convertible Preferred Stock is convertible into common stock at the option of its holders on a 1-for-1 basis (one share of common stock for every 1 share of Series C Convertible Preferred Stock), subject to adjustment as set forth in the certificate of designations of the Series C Convertible Preferred Stock.</w:t>
      </w:r>
    </w:p>
    <w:p>
      <w:pPr>
        <w:spacing w:after="0" w:line="4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following is a summary of the material provisions of the common stock and preferred stock provided for in our certificate of incorporation and bylaws. For additional detail about our capital stock, please refer to our certificate of incorporation and bylaws, each as amended, each of which is incorporated by reference as an exhibit to the Annual Report on Form 10-K of which this exhibit is a part.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all matters, other than the election of directors and except as otherwise required by law or the provisions of our certificate of incorporation or bylaws, the affirmative vote of the majority of shares present or represented by proxy at a meeting and entitled to vote on the subject matter shall be the act of the stockholders. Directors are elected by a plurality of the votes of the shares present in person or represented by proxy and entitled to vote on the election of directors.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Holders of our common stock have no preemptive or conversion rights or other subscription rights, and there are no redemption or sinking fund provisions applicable to the common stock. The outstanding shares of common stock are fully paid and non-assessable. The rights, preferences and privileges of the holders of our common stock are subject to, and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adversely affected by, the rights of the holders of shares of any series of preferred stock, including those currently outstanding and those that we may designate and issue in the future.</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Our common stock is listed on the Nasdaq Global Select Market under the symbol "SCOR." The transfer agent and registrar for the common stock is Equiniti Trust Company, LLC. Its address is 28 Liberty Street, Floor 53, New York, NY 10005, and its telephone number is (800) 468-9716.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Under the terms of our amended and restated certificate of incorporation, our Board is authorized to issue shares of preferred stock in one or more series, from time to time, without stockholder approval and to establish the number of shares to be included in each such series. Our Board has the discretion to determine the designation, powers, preferences, privileges, rights, qualifications, limitations and restrictions, including voting rights, redemption privileges and liquidation preferences, of each series of preferred stock. The rights, preferences, privileges and restrictions of the preferred stock of each series will be fixed by the certificate of designation relating to that series.</w:t>
      </w:r>
    </w:p>
    <w:p>
      <w:pPr>
        <w:spacing w:after="0" w:line="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issuance of preferred stock will affect, and may adversely affect, the rights of holders of common stock. It is not possible to state the actual effect of the future issuance of any shares of preferred stock on the rights of holders of common stock until the Board determines the specific rights attached to that preferred stock. The effects of issuing preferred stock could include one or more of the following:</w:t>
      </w:r>
    </w:p>
    <w:p>
      <w:pPr>
        <w:spacing w:after="0" w:line="3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dividends on the common stock;</w:t>
      </w:r>
    </w:p>
    <w:p>
      <w:pPr>
        <w:ind w:left="660" w:hanging="328"/>
        <w:spacing w:after="0" w:line="204"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diluting the voting power of the common stock;</w:t>
      </w:r>
    </w:p>
    <w:p>
      <w:pPr>
        <w:ind w:left="660" w:hanging="328"/>
        <w:spacing w:after="0" w:line="204"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impairing the liquidation rights of the common stock; and</w:t>
      </w: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delaying or preventing changes in control or management of us.</w:t>
      </w:r>
    </w:p>
    <w:p>
      <w:pPr>
        <w:spacing w:after="0" w:line="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currently have 12,670,863 outstanding shares of Series C Convertible Preferred Stock. We have no other classes of preferred stock currently designated or outstanding. Preferred stock will be fully paid and nonassessable upon issuance.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Series C Convertible Preferred Stock</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On December 29, 2025 (the "Closing Date"), we filed a certificate of designations, which designated 12,670,863 shares of our preferred stock as Series C Convertible Preferred Stock. As of December 31, 2025, there were 12,670,863 shares of our Series C Convertible Preferred Stock outstanding. The Series C Convertible Preferred Stock ranks senior to our common stock with respect to dividend rights and rights on the distribution of assets on any voluntary or involuntary liquidation, dissolution or winding up of our affairs and ranks junior to all secured and unsecured indebtedness.</w:t>
      </w:r>
    </w:p>
    <w:p>
      <w:pPr>
        <w:spacing w:after="0" w:line="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Series C Convertible Preferred Stock has a liquidation preference equal to the purchase price ($14.50 per share). The holders of Series C Convertible Preferred Stock are entitled to participate in all dividends declared on the common stock on an as-converted basis.</w:t>
      </w:r>
    </w:p>
    <w:p>
      <w:pPr>
        <w:spacing w:after="0" w:line="4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Subject to certain anti-dilution adjustments, the Series C Convertible Preferred Stock is convertible at the option of the holders at any time into a number of shares of common stock equal to the Conversion Rate (as defined in the certificate of designations), provided that each holder will receive cash in lieu of fractional shares (if any), and provided further that no holder will be entitled to convert Series C Convertible Preferred Stock in an amount that would cause such holder to beneficially own immediately following such conversion more than 49.99% of the then-outstanding shares of common stock. The conversion rate is calculated as the product of (i) the conversion factor and (ii) one. The conversion right is subject to certain 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adjustments. As of December 31, 2025, each share of Series C Convertible Preferred Stock was convertible into one share of common stock.</w:t>
      </w:r>
    </w:p>
    <w:p>
      <w:pPr>
        <w:spacing w:after="0" w:line="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If the volume-weighted average price ("VWAP") per share of common stock for any calendar quarter ending after the six-month anniversary of the Closing Date is greater than the Mandatory Conversion Price (initially $18.85 or 130% of the conversion price as of such time), then, if a majority of our Board members who have not been designated by, and are not affiliated with, any holder so direct, we will convert up to 1/6th of the total shares of Series C Convertible Preferred Stock outstanding as of the Closing Date into shares of common stock.</w:t>
      </w:r>
    </w:p>
    <w:p>
      <w:pPr>
        <w:spacing w:after="0" w:line="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Series C Convertible Preferred Stock includes a change of control put option that allows the holders of the Series C Convertible Preferred Stock to require us to repurchase such holders' shares at a purchase price per share equal to the liquidation preference. To the extent the holders do not exercise the put option in a covered change of control, we have the right to redeem (subject to the holders' right to convert prior to such redemption) the remaining Series C Convertible Preferred Stock at a redemption price per share equal to the liquidation preference. If we do not pay the amounts due to the holders in connection with a change of control put or call in full when due, any unpaid amount will accrue interest at a rate of 9.5% per annum until the relevant shares are repurchased.</w:t>
      </w:r>
    </w:p>
    <w:p>
      <w:pPr>
        <w:spacing w:after="0" w:line="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The holders of shares of Series C Convertible Preferred Stock have one vote per share (subject to adjustment in accordance with the certificate of designations) and are entitled to vote as a single class with the holders of the common stock and the holders of any of our other classes or series of capital stock then entitled to vote with the common stock on all matters submitted to a vote of the holders of common stock. However, to the extent the Series C Convertible Preferred Stock and any shares of common stock held as of the Closing Date by any initial stockholder and certain transferees and affiliates would, in the aggregate, represent voting rights with respect to more than 16.66% of the common stock (including the Series C Convertible Preferred Stock on an as-converted basis) (the "Voting Threshold"), such initial stockholder and transferees and affiliates will not be permitted to exercise the voting rights with respect to any shares of Series C Convertible Preferred Stock held by them in excess of the Voting Threshold and we will exercise the voting rights with respect to such shares of Series C Convertible Preferred Stock in excess of the Voting Threshold in a neutral manner. If a holder acquires shares of Series C Convertible Preferred Stock from another holder, the acquiring holder's Voting Threshold will be increased proportionately based on the number of shares of Series C Convertible Preferred Stock that such holder acquires and the disposing holder's Voting Threshold will be decreased proportionately, such that the aggregate Voting Threshold of all holders of shares of Series C Convertible Preferred Stock does not exceed 49.99%. Additional voting restrictions are set forth in the Stockholders Agreement between us and the preferred stockholders, as amended and restated on the Closing Date.</w:t>
      </w:r>
    </w:p>
    <w:p>
      <w:pPr>
        <w:spacing w:after="0" w:line="6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foregoing description of the Series C Convertible Preferred Stock does not purport to be complete and is qualified in its entirety by reference to the certificate of designations, which is incorporated by reference as an exhibit to the Annual Report on Form 10-K of which this exhibit is a part.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Forum, Venue, and Jurisdiction</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bylaws establish the Court of Chancery in the State of Delaware (or, if the Court of Chancery does not have jurisdiction, the federal district court for the District of Delaware) as the exclusive forum for any derivative action or proceeding brought by or on behalf of comScore, Inc. (the "Company"), any action asserting a breach of fiduciary duty owed by a director,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or employee of the Company to the Company or its stockholders, any action asserting a claim under the DGCL, our amended and restated certificate of incorporation or bylaws, or any action asserting a claim governed by the internal affairs doctrine, in each case unless otherwise agreed to by the Company.</w:t>
      </w:r>
    </w:p>
    <w:p>
      <w:pPr>
        <w:spacing w:after="0" w:line="5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However, the provision establishing the Court of Chancery in the State of Delaware as the exclusive forum would not apply to suits brought to enforce any liability or duty created by the Securities Act of 1933, as amended,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Effect of Certain Provisions of our Amended and Restated Certificate of Incorporation and Bylaws and the Delaware Anti-Takeover Statute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Delaware law and our amended and restated certificate of incorporation and bylaws contain provisions that could make the following transactions more difficult:</w:t>
      </w:r>
    </w:p>
    <w:p>
      <w:pPr>
        <w:spacing w:after="0" w:line="150"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us by means of a tender offer;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us by means of a proxy contest or otherwise; or</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our incumbent officers and directors.</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These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Amended and Restated Certificate of Incorporation and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amended and restated certificate of incorporation and our bylaws provide for the following:</w:t>
      </w:r>
    </w:p>
    <w:p>
      <w:pPr>
        <w:spacing w:after="0" w:line="175" w:lineRule="exact"/>
        <w:rPr>
          <w:sz w:val="20"/>
          <w:szCs w:val="20"/>
          <w:color w:val="auto"/>
        </w:rPr>
      </w:pPr>
    </w:p>
    <w:p>
      <w:pPr>
        <w:jc w:val="both"/>
        <w:ind w:left="660" w:hanging="652"/>
        <w:spacing w:after="0" w:line="221" w:lineRule="auto"/>
        <w:tabs>
          <w:tab w:leader="none" w:pos="6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Undesignated Preferred Stock</w:t>
      </w:r>
      <w:r>
        <w:rPr>
          <w:rFonts w:ascii="Times New Roman" w:cs="Times New Roman" w:eastAsia="Times New Roman" w:hAnsi="Times New Roman"/>
          <w:sz w:val="22"/>
          <w:szCs w:val="22"/>
          <w:color w:val="auto"/>
        </w:rPr>
        <w:t>. The ability to authorize undesignated preferred stock makes it possible for our Board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 one or more series of preferred stock with voting or other rights or preferences that could impede the success of any attempt to change control of the Company. These and other provisions may have the effect of deferring hostile takeovers or delaying changes in control or management of us.</w:t>
      </w:r>
    </w:p>
    <w:p>
      <w:pPr>
        <w:spacing w:after="0" w:line="148" w:lineRule="exact"/>
        <w:rPr>
          <w:rFonts w:ascii="Times New Roman" w:cs="Times New Roman" w:eastAsia="Times New Roman" w:hAnsi="Times New Roman"/>
          <w:sz w:val="22"/>
          <w:szCs w:val="22"/>
          <w:color w:val="auto"/>
        </w:rPr>
      </w:pPr>
    </w:p>
    <w:p>
      <w:pPr>
        <w:ind w:left="660" w:hanging="652"/>
        <w:spacing w:after="0" w:line="238" w:lineRule="auto"/>
        <w:tabs>
          <w:tab w:leader="none" w:pos="6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Meetings</w:t>
      </w:r>
      <w:r>
        <w:rPr>
          <w:rFonts w:ascii="Times New Roman" w:cs="Times New Roman" w:eastAsia="Times New Roman" w:hAnsi="Times New Roman"/>
          <w:sz w:val="22"/>
          <w:szCs w:val="22"/>
          <w:color w:val="auto"/>
        </w:rPr>
        <w:t>. Our charter documents provide that a special meeting of stockholders may be called only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 adopted by the Board, the chairman of the Board or the chief executive officer.</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Requirements for Advance Notification of Stockholder Nominations and Proposals</w:t>
      </w:r>
      <w:r>
        <w:rPr>
          <w:rFonts w:ascii="Times New Roman" w:cs="Times New Roman" w:eastAsia="Times New Roman" w:hAnsi="Times New Roman"/>
          <w:sz w:val="22"/>
          <w:szCs w:val="22"/>
          <w:color w:val="auto"/>
        </w:rPr>
        <w:t>. Our bylaws establish advance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procedures with respect to stockholder proposals and the nomination of candidates for election as directors, other than nominations made by or at the direction of the Board or a committee of the Board.</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Board Classification</w:t>
      </w:r>
      <w:r>
        <w:rPr>
          <w:rFonts w:ascii="Times New Roman" w:cs="Times New Roman" w:eastAsia="Times New Roman" w:hAnsi="Times New Roman"/>
          <w:sz w:val="22"/>
          <w:szCs w:val="22"/>
          <w:color w:val="auto"/>
        </w:rPr>
        <w:t>. Our Board is divided into three classes. The directors in each class serve for a three-year term,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being elected each year by our stockholders. This system of electing and removing directors may tend to discourage a third party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making a tender offer or otherwise attempting to obtain control of us, because it generally makes it more difficult for stockholders to replace a majority of the directors.</w:t>
      </w:r>
    </w:p>
    <w:p>
      <w:pPr>
        <w:spacing w:after="0" w:line="146" w:lineRule="exact"/>
        <w:rPr>
          <w:sz w:val="20"/>
          <w:szCs w:val="20"/>
          <w:color w:val="auto"/>
        </w:rPr>
      </w:pPr>
    </w:p>
    <w:p>
      <w:pPr>
        <w:jc w:val="both"/>
        <w:ind w:left="660" w:hanging="652"/>
        <w:spacing w:after="0" w:line="218" w:lineRule="auto"/>
        <w:tabs>
          <w:tab w:leader="none" w:pos="6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Limits on Ability of Stockholders to Act by Written Consent</w:t>
      </w:r>
      <w:r>
        <w:rPr>
          <w:rFonts w:ascii="Times New Roman" w:cs="Times New Roman" w:eastAsia="Times New Roman" w:hAnsi="Times New Roman"/>
          <w:sz w:val="22"/>
          <w:szCs w:val="22"/>
          <w:color w:val="auto"/>
        </w:rPr>
        <w:t>. We have provided in our certificate of incorporation that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47" w:lineRule="exact"/>
        <w:rPr>
          <w:rFonts w:ascii="Times New Roman" w:cs="Times New Roman" w:eastAsia="Times New Roman" w:hAnsi="Times New Roman"/>
          <w:sz w:val="22"/>
          <w:szCs w:val="22"/>
          <w:color w:val="auto"/>
        </w:rPr>
      </w:pPr>
    </w:p>
    <w:p>
      <w:pPr>
        <w:jc w:val="both"/>
        <w:ind w:left="660" w:hanging="652"/>
        <w:spacing w:after="0" w:line="227" w:lineRule="auto"/>
        <w:tabs>
          <w:tab w:leader="none" w:pos="6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Certificate of Incorporation and Bylaws</w:t>
      </w:r>
      <w:r>
        <w:rPr>
          <w:rFonts w:ascii="Times New Roman" w:cs="Times New Roman" w:eastAsia="Times New Roman" w:hAnsi="Times New Roman"/>
          <w:sz w:val="22"/>
          <w:szCs w:val="22"/>
          <w:color w:val="auto"/>
        </w:rPr>
        <w:t>. The amendment of the above provisions of our amended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certificate of incorporation and bylaws requires approval by holders of at least two-thirds of our outstanding capital stock entitled to vote generally in the election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Delaware Anti-Takeover Statute</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52" w:lineRule="exact"/>
        <w:rPr>
          <w:sz w:val="20"/>
          <w:szCs w:val="20"/>
          <w:color w:val="auto"/>
        </w:rPr>
      </w:pPr>
    </w:p>
    <w:p>
      <w:pPr>
        <w:ind w:left="660" w:right="20" w:hanging="652"/>
        <w:spacing w:after="0" w:line="236" w:lineRule="auto"/>
        <w:tabs>
          <w:tab w:leader="none" w:pos="6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such date, the board of directors of the corporation approved either the business combination or the transaction that resulted in the stockholder becoming an interested stockholder;</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15" w:lineRule="auto"/>
        <w:tabs>
          <w:tab w:leader="none" w:pos="6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general, Section 203 defines business combination to include the following:</w:t>
      </w:r>
    </w:p>
    <w:p>
      <w:pPr>
        <w:spacing w:after="0" w:line="179"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consolidation involving the corporation and the interested stockholder;</w:t>
      </w:r>
    </w:p>
    <w:p>
      <w:pPr>
        <w:spacing w:after="0" w:line="179"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mortgage, transfer, pledge or other disposition of 10% or more of either the assets or outstanding stock of the corporation involving the interested stockholder;</w:t>
      </w:r>
    </w:p>
    <w:p>
      <w:pPr>
        <w:spacing w:after="0" w:line="150" w:lineRule="exact"/>
        <w:rPr>
          <w:rFonts w:ascii="Times New Roman" w:cs="Times New Roman" w:eastAsia="Times New Roman" w:hAnsi="Times New Roman"/>
          <w:sz w:val="22"/>
          <w:szCs w:val="22"/>
          <w:color w:val="auto"/>
        </w:rPr>
      </w:pPr>
    </w:p>
    <w:p>
      <w:pPr>
        <w:ind w:left="660" w:right="20" w:hanging="652"/>
        <w:spacing w:after="0" w:line="236" w:lineRule="auto"/>
        <w:tabs>
          <w:tab w:leader="none" w:pos="6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exceptions, any transaction that results in the issuance or transfer by the corporation of any stock of the corporation to the interested stockholder;</w:t>
      </w:r>
    </w:p>
    <w:p>
      <w:pPr>
        <w:spacing w:after="0" w:line="150" w:lineRule="exact"/>
        <w:rPr>
          <w:rFonts w:ascii="Times New Roman" w:cs="Times New Roman" w:eastAsia="Times New Roman" w:hAnsi="Times New Roman"/>
          <w:sz w:val="22"/>
          <w:szCs w:val="22"/>
          <w:color w:val="auto"/>
        </w:rPr>
      </w:pPr>
    </w:p>
    <w:p>
      <w:pPr>
        <w:ind w:left="660" w:hanging="652"/>
        <w:spacing w:after="0" w:line="236" w:lineRule="auto"/>
        <w:tabs>
          <w:tab w:leader="none" w:pos="6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involving the corporation that has the effect of increasing the proportionate share of the stock of any class or series of the corporation beneficially owned by the interested stockholder;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9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line="236" w:lineRule="auto"/>
        <w:tabs>
          <w:tab w:leader="none" w:pos="6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interested stockholder of the benefit of any loans, advances, guarantees, pledges or other financial benefits by or through the corporation.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9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743"/>
        </w:trPr>
        <w:tc>
          <w:tcPr>
            <w:tcW w:w="816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080" w:type="dxa"/>
            <w:vAlign w:val="bottom"/>
          </w:tcPr>
          <w:p>
            <w:pPr>
              <w:spacing w:after="0"/>
              <w:rPr>
                <w:sz w:val="24"/>
                <w:szCs w:val="24"/>
                <w:color w:val="auto"/>
              </w:rPr>
            </w:pPr>
          </w:p>
        </w:tc>
      </w:tr>
      <w:tr>
        <w:trPr>
          <w:trHeight w:val="51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Carmenere Holding Company</w:t>
            </w: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(Beijing) Information Technology Company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Argentina S.A.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Asia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Asia Pte Ltd.</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Australia Pty Limited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Brand Awareness,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Brazil Ltda.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BV</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Canada,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Chile S.A.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Colombia SAS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Colombia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Europe,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France SARL</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GmbH</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Holdings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International Inc.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Japan Kabushiki Kaisha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Mexico, S.A. de C.V.</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Peru S.A.C.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Technologies India Private Limited</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UK Ltd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comScore Worldnet Europe, S.L.U.</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comScore, S.L.U.</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Conniaco (Finland) OY</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Conniaco B.V.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 Knowledge, Inc.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 Finance BV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 Worldnet Holding B.V</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 Worldnet US Holdco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CSWS,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Virginia,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Full Circle Studies,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Software, Inc.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California,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LNKMTR, LLC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M.Labs,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Marketscore, Inc.</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Proximic, LLC</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Rentrak Argentina SRL</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Australia Pty Ltd</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Rentrak B.V.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Brazil Pesquisa de Mercado SL LTDA</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Rentrak Corporation Mexico, S. de R.L. de C.V.</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1240"/>
          </w:cols>
          <w:pgMar w:left="320" w:top="14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France EURL</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Germany GmbH</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Holdings UK Limited</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Latin American Stockholder LLC</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Limited</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Rentrak Spain, SL</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Rentrak, LLC</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99"/>
              </w:rPr>
              <w:t>Oregon, U.S.A.</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ScorResearch, LLC</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Shareablee, LLC</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 Media Holdco, LLC</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TMRG, Inc.</w:t>
            </w:r>
          </w:p>
        </w:tc>
        <w:tc>
          <w:tcPr>
            <w:tcW w:w="518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Voicefive, Inc.</w:t>
            </w:r>
          </w:p>
        </w:tc>
        <w:tc>
          <w:tcPr>
            <w:tcW w:w="51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240"/>
          </w:cols>
          <w:pgMar w:left="320" w:top="14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333-231778, 333-226246, and 333-259181 on Form S-3, and Registration Statement Nos. 333-144281, 333-155355, 333-159126, 333-166349, 333-172838, 333-179625, 333-186764, 333-194010, 333-202221, 333-209310, 333-225400, 333-239931, 333-261890, 333-265922, 333-273054, and 333-280562 on Form S-8 of our reports dated March 25, 2026, relating to the financial statements of comScore, Inc. and subsidiaries (the “Company”), appearing in this Annual Report on Form 10-K for the year ended December 31, 2025.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rPr>
          <w:sz w:val="20"/>
          <w:szCs w:val="20"/>
          <w:color w:val="auto"/>
        </w:rPr>
      </w:pPr>
      <w:r>
        <w:rPr>
          <w:rFonts w:ascii="Times New Roman" w:cs="Times New Roman" w:eastAsia="Times New Roman" w:hAnsi="Times New Roman"/>
          <w:sz w:val="18"/>
          <w:szCs w:val="18"/>
          <w:color w:val="auto"/>
        </w:rPr>
        <w:t>March 25, 2026</w:t>
      </w:r>
    </w:p>
    <w:p>
      <w:pPr>
        <w:sectPr>
          <w:pgSz w:w="11900" w:h="16838" w:orient="portrait"/>
          <w:cols w:equalWidth="0" w:num="1">
            <w:col w:w="11160"/>
          </w:cols>
          <w:pgMar w:left="400" w:top="10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Carpenter, certify that:</w:t>
      </w:r>
    </w:p>
    <w:p>
      <w:pPr>
        <w:spacing w:after="0" w:line="225" w:lineRule="exact"/>
        <w:rPr>
          <w:sz w:val="20"/>
          <w:szCs w:val="20"/>
          <w:color w:val="auto"/>
        </w:rPr>
      </w:pPr>
    </w:p>
    <w:p>
      <w:pPr>
        <w:ind w:left="640" w:hanging="187"/>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comScore, Inc.;</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53"/>
        <w:spacing w:after="0" w:line="266" w:lineRule="auto"/>
        <w:tabs>
          <w:tab w:leader="none" w:pos="7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53"/>
        <w:spacing w:after="0" w:line="266" w:lineRule="auto"/>
        <w:tabs>
          <w:tab w:leader="none" w:pos="7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53"/>
        <w:spacing w:after="0" w:line="282" w:lineRule="auto"/>
        <w:tabs>
          <w:tab w:leader="none" w:pos="7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7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53"/>
        <w:spacing w:after="0" w:line="282" w:lineRule="auto"/>
        <w:tabs>
          <w:tab w:leader="none" w:pos="63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53"/>
        <w:spacing w:after="0" w:line="282" w:lineRule="auto"/>
        <w:tabs>
          <w:tab w:leader="none" w:pos="70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413"/>
        <w:spacing w:after="0" w:line="282" w:lineRule="auto"/>
        <w:tabs>
          <w:tab w:leader="none" w:pos="6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Jonathan Carpenter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ectPr>
          <w:pgSz w:w="11900" w:h="16838" w:orient="portrait"/>
          <w:cols w:equalWidth="0" w:num="1">
            <w:col w:w="11240"/>
          </w:cols>
          <w:pgMar w:left="320" w:top="113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Margaret Curry, certify that:</w:t>
      </w:r>
    </w:p>
    <w:p>
      <w:pPr>
        <w:spacing w:after="0" w:line="225" w:lineRule="exact"/>
        <w:rPr>
          <w:sz w:val="20"/>
          <w:szCs w:val="20"/>
          <w:color w:val="auto"/>
        </w:rPr>
      </w:pPr>
    </w:p>
    <w:p>
      <w:pPr>
        <w:ind w:left="640" w:hanging="187"/>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comScore, Inc.;</w:t>
      </w:r>
    </w:p>
    <w:p>
      <w:pPr>
        <w:spacing w:after="0" w:line="225"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53"/>
        <w:spacing w:after="0" w:line="266" w:lineRule="auto"/>
        <w:tabs>
          <w:tab w:leader="none" w:pos="7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53"/>
        <w:spacing w:after="0" w:line="266" w:lineRule="auto"/>
        <w:tabs>
          <w:tab w:leader="none" w:pos="7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53"/>
        <w:spacing w:after="0" w:line="282" w:lineRule="auto"/>
        <w:tabs>
          <w:tab w:leader="none" w:pos="7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53"/>
        <w:spacing w:after="0" w:line="266" w:lineRule="auto"/>
        <w:tabs>
          <w:tab w:leader="none" w:pos="7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53"/>
        <w:spacing w:after="0" w:line="282" w:lineRule="auto"/>
        <w:tabs>
          <w:tab w:leader="none" w:pos="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53"/>
        <w:spacing w:after="0" w:line="282" w:lineRule="auto"/>
        <w:tabs>
          <w:tab w:leader="none" w:pos="70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413"/>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Mary Margaret Curry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comScore, Inc. (the "Company") on Form 10-K for the year ended December 31, 2025, as filed with the Securities and Exchange Commission (the "SEC") on the date hereof (the "Report"), I, Jonathan Carpenter,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00" w:hanging="247"/>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Jonathan Carpenter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comScore, Inc. (the "Company") on Form 10-K for the year ended December 31, 2025, as filed with the Securities and Exchange Commission (the "SEC") on the date hereof (the "Report"), I, Mary Margaret Curry, Chief Financial Officer and Treasurer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00" w:hanging="247"/>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143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Mary Margaret Curry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lowerRoman"/>
      <w:start w:val="3"/>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lowerRoman"/>
      <w:start w:val="2"/>
    </w:lvl>
  </w:abstractNum>
  <w:abstractNum w:abstractNumId="29">
    <w:nsid w:val="649BB77C"/>
    <w:multiLevelType w:val="hybridMultilevel"/>
    <w:lvl w:ilvl="0">
      <w:lvlJc w:val="left"/>
      <w:lvlText w:val="•"/>
      <w:numFmt w:val="bullet"/>
      <w:start w:val="1"/>
    </w:lvl>
    <w:lvl w:ilvl="1">
      <w:lvlJc w:val="left"/>
      <w:lvlText w:val="◦"/>
      <w:numFmt w:val="bullet"/>
      <w:start w:val="1"/>
    </w:lvl>
  </w:abstractNum>
  <w:abstractNum w:abstractNumId="30">
    <w:nsid w:val="275AC794"/>
    <w:multiLevelType w:val="hybridMultilevel"/>
    <w:lvl w:ilvl="0">
      <w:lvlJc w:val="left"/>
      <w:lvlText w:val="•"/>
      <w:numFmt w:val="bullet"/>
      <w:start w:val="1"/>
    </w:lvl>
    <w:lvl w:ilvl="1">
      <w:lvlJc w:val="left"/>
      <w:lvlText w:val="◦"/>
      <w:numFmt w:val="bullet"/>
      <w:start w:val="1"/>
    </w:lvl>
  </w:abstractNum>
  <w:abstractNum w:abstractNumId="31">
    <w:nsid w:val="39386575"/>
    <w:multiLevelType w:val="hybridMultilevel"/>
    <w:lvl w:ilvl="0">
      <w:lvlJc w:val="left"/>
      <w:lvlText w:val="•"/>
      <w:numFmt w:val="bullet"/>
      <w:start w:val="1"/>
    </w:lvl>
    <w:lvl w:ilvl="1">
      <w:lvlJc w:val="left"/>
      <w:lvlText w:val="◦"/>
      <w:numFmt w:val="bullet"/>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2"/>
    </w:lvl>
  </w:abstractNum>
  <w:abstractNum w:abstractNumId="34">
    <w:nsid w:val="235BA861"/>
    <w:multiLevelType w:val="hybridMultilevel"/>
    <w:lvl w:ilvl="0">
      <w:lvlJc w:val="left"/>
      <w:lvlText w:val="(%1)"/>
      <w:numFmt w:val="decimal"/>
      <w:start w:val="4"/>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2"/>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3"/>
    </w:lvl>
  </w:abstractNum>
  <w:abstractNum w:abstractNumId="42">
    <w:nsid w:val="61574095"/>
    <w:multiLevelType w:val="hybridMultilevel"/>
    <w:lvl w:ilvl="0">
      <w:lvlJc w:val="left"/>
      <w:lvlText w:val="%1."/>
      <w:numFmt w:val="decimal"/>
      <w:start w:val="4"/>
    </w:lvl>
  </w:abstractNum>
  <w:abstractNum w:abstractNumId="43">
    <w:nsid w:val="7E0C57B1"/>
    <w:multiLevelType w:val="hybridMultilevel"/>
    <w:lvl w:ilvl="0">
      <w:lvlJc w:val="left"/>
      <w:lvlText w:val="%1."/>
      <w:numFmt w:val="decimal"/>
      <w:start w:val="5"/>
    </w:lvl>
  </w:abstractNum>
  <w:abstractNum w:abstractNumId="44">
    <w:nsid w:val="77AE35EB"/>
    <w:multiLevelType w:val="hybridMultilevel"/>
    <w:lvl w:ilvl="0">
      <w:lvlJc w:val="left"/>
      <w:lvlText w:val="(%1)"/>
      <w:numFmt w:val="lowerRoman"/>
      <w:start w:val="2"/>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lowerRoman"/>
      <w:start w:val="2"/>
    </w:lvl>
  </w:abstractNum>
  <w:abstractNum w:abstractNumId="48">
    <w:nsid w:val="2F305DEF"/>
    <w:multiLevelType w:val="hybridMultilevel"/>
    <w:lvl w:ilvl="0">
      <w:lvlJc w:val="left"/>
      <w:lvlText w:val="%1."/>
      <w:numFmt w:val="decimal"/>
      <w:start w:val="6"/>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8"/>
    </w:lvl>
  </w:abstractNum>
  <w:abstractNum w:abstractNumId="52">
    <w:nsid w:val="1F48EAA1"/>
    <w:multiLevelType w:val="hybridMultilevel"/>
    <w:lvl w:ilvl="0">
      <w:lvlJc w:val="left"/>
      <w:lvlText w:val="%1."/>
      <w:numFmt w:val="decimal"/>
      <w:start w:val="9"/>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lowerLetter"/>
      <w:start w:val="2"/>
    </w:lvl>
  </w:abstractNum>
  <w:abstractNum w:abstractNumId="60">
    <w:nsid w:val="799D0247"/>
    <w:multiLevelType w:val="hybridMultilevel"/>
    <w:lvl w:ilvl="0">
      <w:lvlJc w:val="left"/>
      <w:lvlText w:val="(%1)"/>
      <w:numFmt w:val="lowerLetter"/>
      <w:start w:val="1"/>
    </w:lvl>
    <w:lvl w:ilvl="1">
      <w:lvlJc w:val="left"/>
      <w:lvlText w:val="(%2)"/>
      <w:numFmt w:val="decimal"/>
      <w:start w:val="1"/>
    </w:lvl>
  </w:abstractNum>
  <w:abstractNum w:abstractNumId="61">
    <w:nsid w:val="6B94764"/>
    <w:multiLevelType w:val="hybridMultilevel"/>
    <w:lvl w:ilvl="0">
      <w:lvlJc w:val="left"/>
      <w:lvlText w:val="%1"/>
      <w:numFmt w:val="decimal"/>
      <w:start w:val="104"/>
    </w:lvl>
    <w:lvl w:ilvl="1">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decimal"/>
      <w:start w:val="5"/>
    </w:lvl>
  </w:abstractNum>
  <w:abstractNum w:abstractNumId="72">
    <w:nsid w:val="11447B73"/>
    <w:multiLevelType w:val="hybridMultilevel"/>
    <w:lvl w:ilvl="0">
      <w:lvlJc w:val="left"/>
      <w:lvlText w:val="%1"/>
      <w:numFmt w:val="lowerLetter"/>
      <w:start w:val="1"/>
    </w:lvl>
    <w:lvl w:ilvl="1">
      <w:lvlJc w:val="left"/>
      <w:lvlText w:val="(%2)"/>
      <w:numFmt w:val="lowerLetter"/>
      <w:start w:val="1"/>
    </w:lvl>
  </w:abstractNum>
  <w:abstractNum w:abstractNumId="73">
    <w:nsid w:val="42963E5A"/>
    <w:multiLevelType w:val="hybridMultilevel"/>
    <w:lvl w:ilvl="0">
      <w:lvlJc w:val="left"/>
      <w:lvlText w:val="(%1)"/>
      <w:numFmt w:val="lowerLetter"/>
      <w:start w:val="2"/>
    </w:lvl>
    <w:lvl w:ilvl="1">
      <w:lvlJc w:val="left"/>
      <w:lvlText w:val="%2"/>
      <w:numFmt w:val="lowerLetter"/>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decimal"/>
      <w:start w:val="5"/>
    </w:lvl>
  </w:abstractNum>
  <w:abstractNum w:abstractNumId="77">
    <w:nsid w:val="3B0FD379"/>
    <w:multiLevelType w:val="hybridMultilevel"/>
    <w:lvl w:ilvl="0">
      <w:lvlJc w:val="left"/>
      <w:lvlText w:val="%1"/>
      <w:numFmt w:val="lowerLetter"/>
      <w:start w:val="1"/>
    </w:lvl>
    <w:lvl w:ilvl="1">
      <w:lvlJc w:val="left"/>
      <w:lvlText w:val="(%2)"/>
      <w:numFmt w:val="lowerLetter"/>
      <w:start w:val="1"/>
    </w:lvl>
  </w:abstractNum>
  <w:abstractNum w:abstractNumId="78">
    <w:nsid w:val="68EB2F63"/>
    <w:multiLevelType w:val="hybridMultilevel"/>
    <w:lvl w:ilvl="0">
      <w:lvlJc w:val="left"/>
      <w:lvlText w:val="(%1)"/>
      <w:numFmt w:val="lowerLetter"/>
      <w:start w:val="2"/>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79" Type="http://schemas.openxmlformats.org/officeDocument/2006/relationships/image" Target="media/image110.png"/><Relationship Id="rId198" Type="http://schemas.openxmlformats.org/officeDocument/2006/relationships/image" Target="media/image111.png"/><Relationship Id="rId199" Type="http://schemas.openxmlformats.org/officeDocument/2006/relationships/image" Target="media/image112.png"/><Relationship Id="rId201" Type="http://schemas.openxmlformats.org/officeDocument/2006/relationships/image" Target="media/image113.png"/><Relationship Id="rId202" Type="http://schemas.openxmlformats.org/officeDocument/2006/relationships/image" Target="media/image114.png"/><Relationship Id="rId203" Type="http://schemas.openxmlformats.org/officeDocument/2006/relationships/image" Target="media/image115.png"/><Relationship Id="rId204" Type="http://schemas.openxmlformats.org/officeDocument/2006/relationships/image" Target="media/image116.png"/><Relationship Id="rId205" Type="http://schemas.openxmlformats.org/officeDocument/2006/relationships/image" Target="media/image117.png"/><Relationship Id="rId206" Type="http://schemas.openxmlformats.org/officeDocument/2006/relationships/image" Target="media/image118.jpeg"/><Relationship Id="rId207" Type="http://schemas.openxmlformats.org/officeDocument/2006/relationships/image" Target="media/image119.png"/><Relationship Id="rId208" Type="http://schemas.openxmlformats.org/officeDocument/2006/relationships/image" Target="media/image120.png"/><Relationship Id="rId209" Type="http://schemas.openxmlformats.org/officeDocument/2006/relationships/image" Target="media/image121.png"/><Relationship Id="rId210" Type="http://schemas.openxmlformats.org/officeDocument/2006/relationships/image" Target="media/image122.png"/><Relationship Id="rId113" Type="http://schemas.openxmlformats.org/officeDocument/2006/relationships/hyperlink" Target="https://www.sec.gov/Archives/edgar/data/1158172/000095013307002643/x30988a3exv3w3.htm" TargetMode="External"/><Relationship Id="rId114" Type="http://schemas.openxmlformats.org/officeDocument/2006/relationships/hyperlink" Target="https://www.sec.gov/Archives/edgar/data/1158172/000115817218000091/certificateofamendmentauth.htm" TargetMode="External"/><Relationship Id="rId115" Type="http://schemas.openxmlformats.org/officeDocument/2006/relationships/hyperlink" Target="https://www.sec.gov/Archives/edgar/data/1158172/000119312517035566/d341700dex31.htm" TargetMode="External"/><Relationship Id="rId116" Type="http://schemas.openxmlformats.org/officeDocument/2006/relationships/hyperlink" Target="https://www.sec.gov/Archives/edgar/data/1158172/000119312517303026/d458683dex31.htm" TargetMode="External"/><Relationship Id="rId117" Type="http://schemas.openxmlformats.org/officeDocument/2006/relationships/hyperlink" Target="https://www.sec.gov/Archives/edgar/data/0001158172/000119312521081567/d120882dex31.htm" TargetMode="External"/><Relationship Id="rId118" Type="http://schemas.openxmlformats.org/officeDocument/2006/relationships/hyperlink" Target="https://www.sec.gov/Archives/edgar/data/1158172/000119312521081567/d120882dex32.htm" TargetMode="External"/><Relationship Id="rId119" Type="http://schemas.openxmlformats.org/officeDocument/2006/relationships/hyperlink" Target="https://www.sec.gov/Archives/edgar/data/1158172/000115817223000055/exhibit31-certificateofinc.htm" TargetMode="External"/><Relationship Id="rId120" Type="http://schemas.openxmlformats.org/officeDocument/2006/relationships/hyperlink" Target="https://www.sec.gov/Archives/edgar/data/1158172/000115817223000055/exhibit32-certificateofdes.htm" TargetMode="External"/><Relationship Id="rId121" Type="http://schemas.openxmlformats.org/officeDocument/2006/relationships/hyperlink" Target="https://www.sec.gov/Archives/edgar/data/1158172/000115817223000124/exhibit31certificateofinco.htm" TargetMode="External"/><Relationship Id="rId122" Type="http://schemas.openxmlformats.org/officeDocument/2006/relationships/hyperlink" Target="https://www.sec.gov/Archives/edgar/data/1158172/000115817224000061/certificateofdesignationsa.htm" TargetMode="External"/><Relationship Id="rId123" Type="http://schemas.openxmlformats.org/officeDocument/2006/relationships/hyperlink" Target="https://www.sec.gov/Archives/edgar/data/1158172/000115817225000049/ex-31certificateofincorpor.htm" TargetMode="External"/><Relationship Id="rId124" Type="http://schemas.openxmlformats.org/officeDocument/2006/relationships/hyperlink" Target="https://www.sec.gov/Archives/edgar/data/1158172/000115817225000049/ex-32certificateofdesignat.htm" TargetMode="External"/><Relationship Id="rId125" Type="http://schemas.openxmlformats.org/officeDocument/2006/relationships/hyperlink" Target="https://www.sec.gov/Archives/edgar/data/1158172/000115817225000104/exhibit31certificateofelim.htm" TargetMode="External"/><Relationship Id="rId126" Type="http://schemas.openxmlformats.org/officeDocument/2006/relationships/hyperlink" Target="https://www.sec.gov/Archives/edgar/data/1158172/000115817225000104/exhibit32certificateofamen.htm" TargetMode="External"/><Relationship Id="rId127" Type="http://schemas.openxmlformats.org/officeDocument/2006/relationships/hyperlink" Target="https://www.sec.gov/Archives/edgar/data/1158172/000115817225000104/exhibit33certificateofdesi.htm" TargetMode="External"/><Relationship Id="rId128" Type="http://schemas.openxmlformats.org/officeDocument/2006/relationships/hyperlink" Target="https://www.sec.gov/Archives/edgar/data/1158172/000115817218000160/exhibit32-amendedandrestat.htm" TargetMode="External"/><Relationship Id="rId129" Type="http://schemas.openxmlformats.org/officeDocument/2006/relationships/hyperlink" Target="https://www.sec.gov/Archives/edgar/data/1158172/000115817225000104/exhibit104secondarstockhol.htm" TargetMode="External"/><Relationship Id="rId130" Type="http://schemas.openxmlformats.org/officeDocument/2006/relationships/hyperlink" Target="https://www.sec.gov/Archives/edgar/data/1158172/000119312521081567/d120882dex105.htm" TargetMode="External"/><Relationship Id="rId131" Type="http://schemas.openxmlformats.org/officeDocument/2006/relationships/hyperlink" Target="https://www.sec.gov/Archives/edgar/data/1158172/000115817225000104/exhibit105firstamendmentto.htm" TargetMode="External"/><Relationship Id="rId132" Type="http://schemas.openxmlformats.org/officeDocument/2006/relationships/hyperlink" Target="https://www.sec.gov/Archives/edgar/data/1158172/000095013307002643/x30988a3exv4w1.htm" TargetMode="External"/><Relationship Id="rId135" Type="http://schemas.openxmlformats.org/officeDocument/2006/relationships/hyperlink" Target="https://www.sec.gov/Archives/edgar/data/1158172/000115817225000049/ex-41seriesbdividendwaiver.htm" TargetMode="External"/><Relationship Id="rId136" Type="http://schemas.openxmlformats.org/officeDocument/2006/relationships/hyperlink" Target="https://www.sec.gov/Archives/edgar/data/1158172/000115817225000049/ex-42seriesbdividendwaiver.htm" TargetMode="External"/><Relationship Id="rId137" Type="http://schemas.openxmlformats.org/officeDocument/2006/relationships/hyperlink" Target="https://www.sec.gov/Archives/edgar/data/1158172/000115817225000049/ex-43seriesbdividendwaiver.htm" TargetMode="External"/><Relationship Id="rId138" Type="http://schemas.openxmlformats.org/officeDocument/2006/relationships/hyperlink" Target="https://www.sec.gov/Archives/edgar/data/1158172/000119312521081567/d120882dex106.htm" TargetMode="External"/><Relationship Id="rId139" Type="http://schemas.openxmlformats.org/officeDocument/2006/relationships/hyperlink" Target="https://www.sec.gov/Archives/edgar/data/1158172/000115817222000025/exhibit101-firstamendmentt.htm" TargetMode="External"/><Relationship Id="rId140" Type="http://schemas.openxmlformats.org/officeDocument/2006/relationships/hyperlink" Target="https://www.sec.gov/Archives/edgar/data/1158172/000115817222000103/exhibit101secondamendmentt.htm" TargetMode="External"/><Relationship Id="rId141" Type="http://schemas.openxmlformats.org/officeDocument/2006/relationships/hyperlink" Target="https://www.sec.gov/Archives/edgar/data/1158172/000115817225000021/exhibit1055-thirdamendment.htm" TargetMode="External"/><Relationship Id="rId142" Type="http://schemas.openxmlformats.org/officeDocument/2006/relationships/hyperlink" Target="https://www.sec.gov/Archives/edgar/data/1158172/000115817225000004/exhibit101charteramendment.htm" TargetMode="External"/><Relationship Id="rId143" Type="http://schemas.openxmlformats.org/officeDocument/2006/relationships/hyperlink" Target="https://www.sec.gov/Archives/edgar/data/1158172/000119312511348048/d272307dex101.htm" TargetMode="External"/><Relationship Id="rId144" Type="http://schemas.openxmlformats.org/officeDocument/2006/relationships/hyperlink" Target="https://www.sec.gov/Archives/edgar/data/1158172/000095013308000370/w47950bexv10w1.htm" TargetMode="External"/><Relationship Id="rId145" Type="http://schemas.openxmlformats.org/officeDocument/2006/relationships/hyperlink" Target="https://www.sec.gov/Archives/edgar/data/1158172/000115817218000096/a6thamendment-lease.htm" TargetMode="External"/><Relationship Id="rId146" Type="http://schemas.openxmlformats.org/officeDocument/2006/relationships/hyperlink" Target="https://www.sec.gov/Archives/edgar/data/1158172/000115817221000109/exhibit102-amendmentno7tod.htm" TargetMode="External"/><Relationship Id="rId147" Type="http://schemas.openxmlformats.org/officeDocument/2006/relationships/hyperlink" Target="https://www.sec.gov/Archives/edgar/data/1158172/000119312520193346/d19455dex101.htm" TargetMode="External"/><Relationship Id="rId148" Type="http://schemas.openxmlformats.org/officeDocument/2006/relationships/hyperlink" Target="https://www.sec.gov/Archives/edgar/data/1158172/000115817222000083/exhibit101-firstamendmentt.htm" TargetMode="External"/><Relationship Id="rId149" Type="http://schemas.openxmlformats.org/officeDocument/2006/relationships/hyperlink" Target="https://www.sec.gov/Archives/edgar/data/1158172/000115817223000086/exhibit101-secondamendment.htm" TargetMode="External"/><Relationship Id="rId150" Type="http://schemas.openxmlformats.org/officeDocument/2006/relationships/hyperlink" Target="https://www.sec.gov/Archives/edgar/data/1158172/000115817223000124/exhibit101thirdamendmentto.htm" TargetMode="External"/><Relationship Id="rId151" Type="http://schemas.openxmlformats.org/officeDocument/2006/relationships/hyperlink" Target="https://www.sec.gov/Archives/edgar/data/1158172/000115817224000101/exhibit102fourthamendmentt.htm" TargetMode="External"/><Relationship Id="rId152" Type="http://schemas.openxmlformats.org/officeDocument/2006/relationships/hyperlink" Target="https://www.sec.gov/Archives/edgar/data/1158172/000115817225000082/exhibit101fifthamendmentto.htm" TargetMode="External"/><Relationship Id="rId153" Type="http://schemas.openxmlformats.org/officeDocument/2006/relationships/hyperlink" Target="https://www.sec.gov/Archives/edgar/data/1158172/000115817218000096/grantnoticedirectorrsu.htm" TargetMode="External"/><Relationship Id="rId156" Type="http://schemas.openxmlformats.org/officeDocument/2006/relationships/hyperlink" Target="https://www.sec.gov/Archives/edgar/data/1158172/000115817218000198/exhibit105-formofrestricte.htm" TargetMode="External"/><Relationship Id="rId157" Type="http://schemas.openxmlformats.org/officeDocument/2006/relationships/hyperlink" Target="https://www.sec.gov/Archives/edgar/data/1158172/000115817220000021/exhibit1033-formofstoc.htm" TargetMode="External"/><Relationship Id="rId158" Type="http://schemas.openxmlformats.org/officeDocument/2006/relationships/hyperlink" Target="https://www.sec.gov/Archives/edgar/data/1158172/000115817220000021/exhibit1036-formofrest.htm" TargetMode="External"/><Relationship Id="rId159" Type="http://schemas.openxmlformats.org/officeDocument/2006/relationships/hyperlink" Target="https://www.sec.gov/Archives/edgar/data/1158172/000115817221000068/exhibit105-formofindemnifi.htm" TargetMode="External"/><Relationship Id="rId160" Type="http://schemas.openxmlformats.org/officeDocument/2006/relationships/hyperlink" Target="https://www.sec.gov/Archives/edgar/data/0001158172/000115817221000138/exhibit101-severanceagreem.htm" TargetMode="External"/><Relationship Id="rId161" Type="http://schemas.openxmlformats.org/officeDocument/2006/relationships/hyperlink" Target="https://www.sec.gov/Archives/edgar/data/1158172/000115817222000059/exhibit103-firstamendmentt.htm" TargetMode="External"/><Relationship Id="rId162" Type="http://schemas.openxmlformats.org/officeDocument/2006/relationships/hyperlink" Target="https://www.sec.gov/Archives/edgar/data/0001158172/000115817221000138/exhibit102-changeofcontrol.htm" TargetMode="External"/><Relationship Id="rId163" Type="http://schemas.openxmlformats.org/officeDocument/2006/relationships/hyperlink" Target="https://www.sec.gov/Archives/edgar/data/1158172/000115817222000059/exhibit102-firstamendmentt.htm" TargetMode="External"/><Relationship Id="rId164" Type="http://schemas.openxmlformats.org/officeDocument/2006/relationships/hyperlink" Target="https://www.sec.gov/Archives/edgar/data/1158172/000115817221000165/exhibit995-restrictedstock.htm" TargetMode="External"/><Relationship Id="rId165" Type="http://schemas.openxmlformats.org/officeDocument/2006/relationships/hyperlink" Target="https://www.sec.gov/Archives/edgar/data/1158172/000115817221000165/exhibit991-shareablee2013s.htm" TargetMode="External"/><Relationship Id="rId166" Type="http://schemas.openxmlformats.org/officeDocument/2006/relationships/hyperlink" Target="https://www.sec.gov/Archives/edgar/data/1158172/000115817221000165/exhibit992-amendmentno1tos.htm" TargetMode="External"/><Relationship Id="rId167" Type="http://schemas.openxmlformats.org/officeDocument/2006/relationships/hyperlink" Target="https://www.sec.gov/Archives/edgar/data/1158172/000115817221000165/exhibit993-amendmentno2tos.htm" TargetMode="External"/><Relationship Id="rId168" Type="http://schemas.openxmlformats.org/officeDocument/2006/relationships/hyperlink" Target="https://www.sec.gov/Archives/edgar/data/1158172/000115817221000165/exhibit994-amendmentno3tos.htm" TargetMode="External"/><Relationship Id="rId169" Type="http://schemas.openxmlformats.org/officeDocument/2006/relationships/hyperlink" Target="https://www.sec.gov/Archives/edgar/data/1158172/000115817222000006/exhibit102-transitionandse.htm" TargetMode="External"/><Relationship Id="rId170" Type="http://schemas.openxmlformats.org/officeDocument/2006/relationships/hyperlink" Target="https://www.sec.gov/Archives/edgar/data/1158172/000115817222000059/exhibit101-carpenterceoagr.htm" TargetMode="External"/><Relationship Id="rId171" Type="http://schemas.openxmlformats.org/officeDocument/2006/relationships/hyperlink" Target="https://www.sec.gov/Archives/edgar/data/1158172/000115817222000059/exhibit104-currycfoagreeme.htm" TargetMode="External"/><Relationship Id="rId172" Type="http://schemas.openxmlformats.org/officeDocument/2006/relationships/hyperlink" Target="https://www.sec.gov/Archives/edgar/data/1158172/000115817222000059/exhibit105-currychangeofco.htm" TargetMode="External"/><Relationship Id="rId173" Type="http://schemas.openxmlformats.org/officeDocument/2006/relationships/hyperlink" Target="https://www.sec.gov/Archives/edgar/data/1158172/000115817222000059/exhibit106-curryseverancea.htm" TargetMode="External"/><Relationship Id="rId174" Type="http://schemas.openxmlformats.org/officeDocument/2006/relationships/hyperlink" Target="https://www.sec.gov/Archives/edgar/data/1158172/000115817222000083/exhibit108-carpenterprsugr.htm" TargetMode="External"/><Relationship Id="rId175" Type="http://schemas.openxmlformats.org/officeDocument/2006/relationships/hyperlink" Target="https://www.sec.gov/Archives/edgar/data/1158172/000115817222000083/exhibit109-curryprsugranta.htm" TargetMode="External"/><Relationship Id="rId176" Type="http://schemas.openxmlformats.org/officeDocument/2006/relationships/hyperlink" Target="https://www.sec.gov/Archives/edgar/data/1158172/000115817222000088/exhibit101-letteragreement.htm" TargetMode="External"/><Relationship Id="rId177" Type="http://schemas.openxmlformats.org/officeDocument/2006/relationships/hyperlink" Target="https://www.sec.gov/Archives/edgar/data/1158172/000115817222000088/exhibit102-changeofcontrol.htm" TargetMode="External"/><Relationship Id="rId178" Type="http://schemas.openxmlformats.org/officeDocument/2006/relationships/hyperlink" Target="https://www.sec.gov/Archives/edgar/data/1158172/000115817222000088/exhibit103-severanceagreem.htm" TargetMode="External"/><Relationship Id="rId180" Type="http://schemas.openxmlformats.org/officeDocument/2006/relationships/hyperlink" Target="https://www.sec.gov/Archives/edgar/data/1158172/000115817222000113/exhibit1012-formofperforma.htm" TargetMode="External"/><Relationship Id="rId181" Type="http://schemas.openxmlformats.org/officeDocument/2006/relationships/hyperlink" Target="https://www.sec.gov/Archives/edgar/data/1158172/000115817224000012/exhibit1055-formofrestrict.htm" TargetMode="External"/><Relationship Id="rId182" Type="http://schemas.openxmlformats.org/officeDocument/2006/relationships/hyperlink" Target="https://www.sec.gov/Archives/edgar/data/1158172/000115817224000012/exhibit1056-formofperforma.htm" TargetMode="External"/><Relationship Id="rId183" Type="http://schemas.openxmlformats.org/officeDocument/2006/relationships/hyperlink" Target="https://www.sec.gov/Archives/edgar/data/1158172/000115817225000021/exhibit1050-separationandg.htm" TargetMode="External"/><Relationship Id="rId184" Type="http://schemas.openxmlformats.org/officeDocument/2006/relationships/hyperlink" Target="https://www.sec.gov/Archives/edgar/data/1158172/000119312524147100/d838995dex101.htm" TargetMode="External"/><Relationship Id="rId185" Type="http://schemas.openxmlformats.org/officeDocument/2006/relationships/hyperlink" Target="https://www.sec.gov/Archives/edgar/data/1158172/000115817224000101/exhibit104cashincentivepla.htm" TargetMode="External"/><Relationship Id="rId186" Type="http://schemas.openxmlformats.org/officeDocument/2006/relationships/hyperlink" Target="https://www.sec.gov/Archives/edgar/data/1158172/000115817224000039/exhibit101-bagdasarianchan.htm" TargetMode="External"/><Relationship Id="rId187" Type="http://schemas.openxmlformats.org/officeDocument/2006/relationships/hyperlink" Target="https://www.sec.gov/Archives/edgar/data/1158172/000115817224000039/exhibit102-bagdasarianseve.htm" TargetMode="External"/><Relationship Id="rId188" Type="http://schemas.openxmlformats.org/officeDocument/2006/relationships/hyperlink" Target="https://www.sec.gov/Archives/edgar/data/1158172/000115817225000004/exhibit102financeagreement.htm" TargetMode="External"/><Relationship Id="rId189" Type="http://schemas.openxmlformats.org/officeDocument/2006/relationships/hyperlink" Target="https://www.sec.gov/Archives/edgar/data/1158172/000119312525221284/d13858dex108.htm" TargetMode="External"/><Relationship Id="rId190" Type="http://schemas.openxmlformats.org/officeDocument/2006/relationships/hyperlink" Target="https://www.sec.gov/Archives/edgar/data/1158172/000115817225000004/exhibit103pledgeandsecurit.htm" TargetMode="External"/><Relationship Id="rId191" Type="http://schemas.openxmlformats.org/officeDocument/2006/relationships/hyperlink" Target="https://www.sec.gov/Archives/edgar/data/1158172/000119312525221284/d13858dex101.htm" TargetMode="External"/><Relationship Id="rId192" Type="http://schemas.openxmlformats.org/officeDocument/2006/relationships/hyperlink" Target="https://www.sec.gov/Archives/edgar/data/1158172/000119312525221284/d13858dex102.htm" TargetMode="External"/><Relationship Id="rId193" Type="http://schemas.openxmlformats.org/officeDocument/2006/relationships/hyperlink" Target="https://www.sec.gov/Archives/edgar/data/1158172/000119312525221284/d13858dex103.htm" TargetMode="External"/><Relationship Id="rId194" Type="http://schemas.openxmlformats.org/officeDocument/2006/relationships/hyperlink" Target="https://www.sec.gov/Archives/edgar/data/1158172/000119312525221284/d13858dex104.htm" TargetMode="External"/><Relationship Id="rId195" Type="http://schemas.openxmlformats.org/officeDocument/2006/relationships/hyperlink" Target="https://www.sec.gov/Archives/edgar/data/1158172/000119312525221284/d13858dex105.htm" TargetMode="External"/><Relationship Id="rId196" Type="http://schemas.openxmlformats.org/officeDocument/2006/relationships/hyperlink" Target="https://www.sec.gov/Archives/edgar/data/1158172/000119312525221284/d13858dex106.htm" TargetMode="External"/><Relationship Id="rId197" Type="http://schemas.openxmlformats.org/officeDocument/2006/relationships/hyperlink" Target="https://www.sec.gov/Archives/edgar/data/1158172/000115817225000021/exhibit191-insidertradingp.htm" TargetMode="External"/><Relationship Id="rId200" Type="http://schemas.openxmlformats.org/officeDocument/2006/relationships/hyperlink" Target="https://www.sec.gov/Archives/edgar/data/1158172/000115817224000012/exhibit971-comscoreinccla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2026-03-26T05:25:07Z</dcterms:created>
  <dcterms:modified xsi:type="dcterms:W3CDTF">2026-03-26T05:25:07Z</dcterms:modified>
</cp:coreProperties>
</file>