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04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0451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Kline David</w:t>
              </w:r>
            </w:hyperlink>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94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COMSCORE,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SCOR</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0000EE"/>
            </w:tcBorders>
            <w:vMerge w:val="continue"/>
          </w:tcPr>
          <w:p>
            <w:pPr>
              <w:spacing w:after="0"/>
              <w:rPr>
                <w:sz w:val="4"/>
                <w:szCs w:val="4"/>
                <w:color w:val="auto"/>
              </w:rPr>
            </w:pPr>
          </w:p>
        </w:tc>
        <w:tc>
          <w:tcPr>
            <w:tcW w:w="22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700" w:type="dxa"/>
            <w:vAlign w:val="bottom"/>
            <w:vMerge w:val="restart"/>
          </w:tcPr>
          <w:p>
            <w:pPr>
              <w:ind w:left="18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restart"/>
          </w:tcPr>
          <w:p>
            <w:pPr>
              <w:ind w:left="20"/>
              <w:spacing w:after="0"/>
              <w:rPr>
                <w:sz w:val="20"/>
                <w:szCs w:val="20"/>
                <w:color w:val="auto"/>
              </w:rPr>
            </w:pPr>
            <w:r>
              <w:rPr>
                <w:rFonts w:ascii="Arial" w:cs="Arial" w:eastAsia="Arial" w:hAnsi="Arial"/>
                <w:sz w:val="10"/>
                <w:szCs w:val="10"/>
                <w:color w:val="auto"/>
              </w:rPr>
              <w:t>below)</w:t>
            </w: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COMSCORE, INC.</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5"/>
          </w:tcPr>
          <w:p>
            <w:pPr>
              <w:ind w:left="320"/>
              <w:spacing w:after="0"/>
              <w:rPr>
                <w:sz w:val="20"/>
                <w:szCs w:val="20"/>
                <w:color w:val="auto"/>
              </w:rPr>
            </w:pPr>
            <w:r>
              <w:rPr>
                <w:rFonts w:ascii="Times New Roman" w:cs="Times New Roman" w:eastAsia="Times New Roman" w:hAnsi="Times New Roman"/>
                <w:sz w:val="13"/>
                <w:szCs w:val="13"/>
                <w:color w:val="0000FF"/>
              </w:rPr>
              <w:t>07/01/2026</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11950 DEMOCRACY DRIVE, STE. 600</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gridSpan w:val="3"/>
          </w:tcPr>
          <w:p>
            <w:pPr>
              <w:spacing w:after="0"/>
              <w:rPr>
                <w:sz w:val="6"/>
                <w:szCs w:val="6"/>
                <w:color w:val="auto"/>
              </w:rPr>
            </w:pPr>
          </w:p>
        </w:tc>
        <w:tc>
          <w:tcPr>
            <w:tcW w:w="1360" w:type="dxa"/>
            <w:vAlign w:val="bottom"/>
            <w:tcBorders>
              <w:bottom w:val="single" w:sz="8" w:color="2C2C2C"/>
            </w:tcBorders>
            <w:gridSpan w:val="4"/>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274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RESTON</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VA</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20190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0"/>
                <w:szCs w:val="10"/>
                <w:color w:val="auto"/>
              </w:rPr>
              <w:t>(City)</w:t>
            </w:r>
          </w:p>
        </w:tc>
        <w:tc>
          <w:tcPr>
            <w:tcW w:w="700" w:type="dxa"/>
            <w:vAlign w:val="bottom"/>
          </w:tcPr>
          <w:p>
            <w:pPr>
              <w:ind w:left="18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2460" w:type="dxa"/>
            <w:vAlign w:val="bottom"/>
            <w:tcBorders>
              <w:bottom w:val="single" w:sz="8" w:color="2C2C2C"/>
            </w:tcBorders>
            <w:gridSpan w:val="6"/>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20" w:type="dxa"/>
            <w:vAlign w:val="bottom"/>
            <w:tcBorders>
              <w:top w:val="single" w:sz="8" w:color="2C2C2C"/>
            </w:tcBorders>
          </w:tcPr>
          <w:p>
            <w:pPr>
              <w:spacing w:after="0"/>
              <w:rPr>
                <w:sz w:val="17"/>
                <w:szCs w:val="17"/>
                <w:color w:val="auto"/>
              </w:rPr>
            </w:pPr>
          </w:p>
        </w:tc>
        <w:tc>
          <w:tcPr>
            <w:tcW w:w="2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4"/>
          </w:tcPr>
          <w:p>
            <w:pPr>
              <w:jc w:val="right"/>
              <w:ind w:right="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3"/>
          </w:tcPr>
          <w:p>
            <w:pPr>
              <w:ind w:left="12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jc w:val="right"/>
              <w:ind w:right="68"/>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3"/>
          </w:tcPr>
          <w:p>
            <w:pPr>
              <w:ind w:left="12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4"/>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80" w:type="dxa"/>
            <w:vAlign w:val="bottom"/>
          </w:tcPr>
          <w:p>
            <w:pPr>
              <w:ind w:left="120"/>
              <w:spacing w:after="0"/>
              <w:rPr>
                <w:sz w:val="20"/>
                <w:szCs w:val="20"/>
                <w:color w:val="auto"/>
              </w:rPr>
            </w:pPr>
            <w:r>
              <w:rPr>
                <w:rFonts w:ascii="Arial" w:cs="Arial" w:eastAsia="Arial" w:hAnsi="Arial"/>
                <w:sz w:val="9"/>
                <w:szCs w:val="9"/>
                <w:b w:val="1"/>
                <w:bCs w:val="1"/>
                <w:color w:val="auto"/>
              </w:rPr>
              <w:t>if any</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gridSpan w:val="3"/>
          </w:tcPr>
          <w:p>
            <w:pPr>
              <w:ind w:left="120"/>
              <w:spacing w:after="0" w:line="74" w:lineRule="exact"/>
              <w:rPr>
                <w:sz w:val="20"/>
                <w:szCs w:val="20"/>
                <w:color w:val="auto"/>
              </w:rPr>
            </w:pPr>
            <w:r>
              <w:rPr>
                <w:rFonts w:ascii="Arial" w:cs="Arial" w:eastAsia="Arial" w:hAnsi="Arial"/>
                <w:sz w:val="8"/>
                <w:szCs w:val="8"/>
                <w:b w:val="1"/>
                <w:bCs w:val="1"/>
                <w:color w:val="auto"/>
              </w:rPr>
              <w:t>(Month/Day/Year)</w:t>
            </w:r>
          </w:p>
        </w:tc>
        <w:tc>
          <w:tcPr>
            <w:tcW w:w="46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20" w:type="dxa"/>
            <w:vAlign w:val="bottom"/>
            <w:vMerge w:val="restart"/>
          </w:tcPr>
          <w:p>
            <w:pPr>
              <w:ind w:left="2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jc w:val="right"/>
              <w:ind w:right="14"/>
              <w:spacing w:after="0"/>
              <w:rPr>
                <w:sz w:val="20"/>
                <w:szCs w:val="20"/>
                <w:color w:val="auto"/>
              </w:rPr>
            </w:pPr>
            <w:r>
              <w:rPr>
                <w:rFonts w:ascii="Arial" w:cs="Arial" w:eastAsia="Arial" w:hAnsi="Arial"/>
                <w:sz w:val="9"/>
                <w:szCs w:val="9"/>
                <w:b w:val="1"/>
                <w:bCs w:val="1"/>
                <w:color w:val="auto"/>
              </w:rPr>
              <w:t>Amount</w:t>
            </w:r>
          </w:p>
        </w:tc>
        <w:tc>
          <w:tcPr>
            <w:tcW w:w="880" w:type="dxa"/>
            <w:vAlign w:val="bottom"/>
            <w:vMerge w:val="restart"/>
          </w:tcPr>
          <w:p>
            <w:pPr>
              <w:ind w:left="420"/>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jc w:val="right"/>
              <w:ind w:right="288"/>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74"/>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4"/>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80" w:type="dxa"/>
            <w:vAlign w:val="bottom"/>
            <w:tcBorders>
              <w:bottom w:val="single" w:sz="8" w:color="2C2C2C"/>
            </w:tcBorders>
            <w:gridSpan w:val="7"/>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820" w:type="dxa"/>
            <w:vAlign w:val="bottom"/>
            <w:tcBorders>
              <w:top w:val="single" w:sz="8" w:color="2C2C2C"/>
            </w:tcBorders>
          </w:tcPr>
          <w:p>
            <w:pPr>
              <w:spacing w:after="0"/>
              <w:rPr>
                <w:sz w:val="14"/>
                <w:szCs w:val="14"/>
                <w:color w:val="auto"/>
              </w:rPr>
            </w:pPr>
          </w:p>
        </w:tc>
        <w:tc>
          <w:tcPr>
            <w:tcW w:w="2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4"/>
          </w:tcPr>
          <w:p>
            <w:pPr>
              <w:jc w:val="right"/>
              <w:ind w:right="12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1"/>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2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4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3"/>
          </w:tcPr>
          <w:p>
            <w:pPr>
              <w:spacing w:after="0"/>
              <w:rPr>
                <w:sz w:val="20"/>
                <w:szCs w:val="20"/>
                <w:color w:val="auto"/>
              </w:rPr>
            </w:pPr>
            <w:r>
              <w:rPr>
                <w:rFonts w:ascii="Arial" w:cs="Arial" w:eastAsia="Arial" w:hAnsi="Arial"/>
                <w:sz w:val="9"/>
                <w:szCs w:val="9"/>
                <w:b w:val="1"/>
                <w:bCs w:val="1"/>
                <w:color w:val="auto"/>
              </w:rPr>
              <w:t>(D) (Instr. 3, 4 and 5)</w:t>
            </w: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220" w:type="dxa"/>
            <w:vAlign w:val="bottom"/>
          </w:tcPr>
          <w:p>
            <w:pPr>
              <w:spacing w:after="0"/>
              <w:rPr>
                <w:sz w:val="9"/>
                <w:szCs w:val="9"/>
                <w:color w:val="auto"/>
              </w:rPr>
            </w:pPr>
          </w:p>
        </w:tc>
        <w:tc>
          <w:tcPr>
            <w:tcW w:w="540" w:type="dxa"/>
            <w:vAlign w:val="bottom"/>
          </w:tcPr>
          <w:p>
            <w:pPr>
              <w:jc w:val="right"/>
              <w:ind w:right="14"/>
              <w:spacing w:after="0"/>
              <w:rPr>
                <w:sz w:val="20"/>
                <w:szCs w:val="20"/>
                <w:color w:val="auto"/>
              </w:rPr>
            </w:pPr>
            <w:r>
              <w:rPr>
                <w:rFonts w:ascii="Arial" w:cs="Arial" w:eastAsia="Arial" w:hAnsi="Arial"/>
                <w:sz w:val="9"/>
                <w:szCs w:val="9"/>
                <w:b w:val="1"/>
                <w:bCs w:val="1"/>
                <w:color w:val="auto"/>
              </w:rPr>
              <w:t>Expiration</w:t>
            </w:r>
          </w:p>
        </w:tc>
        <w:tc>
          <w:tcPr>
            <w:tcW w:w="880" w:type="dxa"/>
            <w:vAlign w:val="bottom"/>
          </w:tcPr>
          <w:p>
            <w:pPr>
              <w:spacing w:after="0"/>
              <w:rPr>
                <w:sz w:val="9"/>
                <w:szCs w:val="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gridSpan w:val="4"/>
          </w:tcPr>
          <w:p>
            <w:pPr>
              <w:ind w:left="4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60" w:type="dxa"/>
            <w:vAlign w:val="bottom"/>
            <w:gridSpan w:val="2"/>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jc w:val="right"/>
              <w:ind w:right="274"/>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40" w:type="dxa"/>
            <w:vAlign w:val="bottom"/>
            <w:gridSpan w:val="2"/>
          </w:tcPr>
          <w:p>
            <w:pPr>
              <w:jc w:val="right"/>
              <w:ind w:right="168"/>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00" w:type="dxa"/>
            <w:vAlign w:val="bottom"/>
          </w:tcPr>
          <w:p>
            <w:pPr>
              <w:ind w:left="280"/>
              <w:spacing w:after="0"/>
              <w:rPr>
                <w:sz w:val="20"/>
                <w:szCs w:val="20"/>
                <w:color w:val="auto"/>
              </w:rPr>
            </w:pPr>
            <w:r>
              <w:rPr>
                <w:rFonts w:ascii="Arial" w:cs="Arial" w:eastAsia="Arial" w:hAnsi="Arial"/>
                <w:sz w:val="18"/>
                <w:szCs w:val="18"/>
                <w:color w:val="000000"/>
                <w:vertAlign w:val="subscript"/>
              </w:rPr>
              <w:t>$</w:t>
            </w:r>
            <w:r>
              <w:rPr>
                <w:rFonts w:ascii="Times New Roman" w:cs="Times New Roman" w:eastAsia="Times New Roman" w:hAnsi="Times New Roman"/>
                <w:sz w:val="20"/>
                <w:szCs w:val="20"/>
                <w:color w:val="0000FF"/>
                <w:vertAlign w:val="subscript"/>
              </w:rPr>
              <w:t>0</w:t>
            </w:r>
            <w:r>
              <w:rPr>
                <w:rFonts w:ascii="Times New Roman" w:cs="Times New Roman" w:eastAsia="Times New Roman" w:hAnsi="Times New Roman"/>
                <w:sz w:val="9"/>
                <w:szCs w:val="9"/>
                <w:color w:val="008000"/>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0000FF"/>
              </w:rPr>
              <w:t>07/01/2026</w:t>
            </w:r>
          </w:p>
        </w:tc>
        <w:tc>
          <w:tcPr>
            <w:tcW w:w="1040" w:type="dxa"/>
            <w:vAlign w:val="bottom"/>
          </w:tcPr>
          <w:p>
            <w:pPr>
              <w:spacing w:after="0"/>
              <w:rPr>
                <w:sz w:val="23"/>
                <w:szCs w:val="23"/>
                <w:color w:val="auto"/>
              </w:rPr>
            </w:pPr>
          </w:p>
        </w:tc>
        <w:tc>
          <w:tcPr>
            <w:tcW w:w="860" w:type="dxa"/>
            <w:vAlign w:val="bottom"/>
            <w:gridSpan w:val="4"/>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480" w:type="dxa"/>
            <w:vAlign w:val="bottom"/>
          </w:tcPr>
          <w:p>
            <w:pPr>
              <w:ind w:left="80"/>
              <w:spacing w:after="0"/>
              <w:rPr>
                <w:sz w:val="20"/>
                <w:szCs w:val="20"/>
                <w:color w:val="auto"/>
              </w:rPr>
            </w:pPr>
            <w:r>
              <w:rPr>
                <w:rFonts w:ascii="Times New Roman" w:cs="Times New Roman" w:eastAsia="Times New Roman" w:hAnsi="Times New Roman"/>
                <w:sz w:val="10"/>
                <w:szCs w:val="10"/>
                <w:color w:val="0000FF"/>
              </w:rPr>
              <w:t>16,461</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ind w:left="280"/>
              <w:spacing w:after="0"/>
              <w:rPr>
                <w:sz w:val="20"/>
                <w:szCs w:val="20"/>
                <w:color w:val="auto"/>
              </w:rPr>
            </w:pPr>
            <w:r>
              <w:rPr>
                <w:rFonts w:ascii="Times New Roman" w:cs="Times New Roman" w:eastAsia="Times New Roman" w:hAnsi="Times New Roman"/>
                <w:sz w:val="9"/>
                <w:szCs w:val="9"/>
                <w:color w:val="008000"/>
              </w:rPr>
              <w:t>(2)</w:t>
            </w:r>
          </w:p>
        </w:tc>
        <w:tc>
          <w:tcPr>
            <w:tcW w:w="220" w:type="dxa"/>
            <w:vAlign w:val="bottom"/>
          </w:tcPr>
          <w:p>
            <w:pPr>
              <w:spacing w:after="0"/>
              <w:rPr>
                <w:sz w:val="23"/>
                <w:szCs w:val="23"/>
                <w:color w:val="auto"/>
              </w:rPr>
            </w:pPr>
          </w:p>
        </w:tc>
        <w:tc>
          <w:tcPr>
            <w:tcW w:w="540" w:type="dxa"/>
            <w:vAlign w:val="bottom"/>
          </w:tcPr>
          <w:p>
            <w:pPr>
              <w:jc w:val="right"/>
              <w:ind w:right="194"/>
              <w:spacing w:after="0"/>
              <w:rPr>
                <w:sz w:val="20"/>
                <w:szCs w:val="20"/>
                <w:color w:val="auto"/>
              </w:rPr>
            </w:pPr>
            <w:r>
              <w:rPr>
                <w:rFonts w:ascii="Times New Roman" w:cs="Times New Roman" w:eastAsia="Times New Roman" w:hAnsi="Times New Roman"/>
                <w:sz w:val="9"/>
                <w:szCs w:val="9"/>
                <w:color w:val="008000"/>
              </w:rPr>
              <w:t>(2)</w:t>
            </w:r>
          </w:p>
        </w:tc>
        <w:tc>
          <w:tcPr>
            <w:tcW w:w="880" w:type="dxa"/>
            <w:vAlign w:val="bottom"/>
          </w:tcPr>
          <w:p>
            <w:pPr>
              <w:ind w:left="14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16,461</w:t>
            </w:r>
          </w:p>
        </w:tc>
        <w:tc>
          <w:tcPr>
            <w:tcW w:w="72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00FF"/>
              </w:rPr>
              <w:t>16,461</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a contingent right to receive one share of the Company's common stock.</w:t>
      </w:r>
    </w:p>
    <w:p>
      <w:pPr>
        <w:spacing w:after="0" w:line="40" w:lineRule="exact"/>
        <w:rPr>
          <w:rFonts w:ascii="Times New Roman" w:cs="Times New Roman" w:eastAsia="Times New Roman" w:hAnsi="Times New Roman"/>
          <w:sz w:val="10"/>
          <w:szCs w:val="10"/>
          <w:color w:val="008000"/>
        </w:rPr>
      </w:pPr>
    </w:p>
    <w:p>
      <w:pPr>
        <w:ind w:left="40" w:right="80" w:hanging="6"/>
        <w:spacing w:after="0" w:line="25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restricted stock unit award was granted pursuant to the terms of the comScore, Inc. 2018 Equity and Incentive Compensation Plan. This award, which represents compensation for the 2026-2027 director term, will vest in full on the earliest of (i) the date of the Company's 2027 annual meeting of stockholders, (ii) June 30, 2027, and (iii) the date of a change in control of the Company, subject in each case to the reporter's continued status as a member of the Company's Board of Directors on the vesting date. Vested units will be deferred and delivered in shares of common stock upon a separation from service or a change in control of the Company, as set forth in the applicable award notice.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POA Kline</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Ashley Wright, Attorney-in-Fact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07/02/2026</w:t>
            </w:r>
          </w:p>
        </w:tc>
      </w:tr>
      <w:tr>
        <w:trPr>
          <w:trHeight w:val="178"/>
        </w:trPr>
        <w:tc>
          <w:tcPr>
            <w:tcW w:w="6580" w:type="dxa"/>
            <w:vAlign w:val="bottom"/>
          </w:tcPr>
          <w:p>
            <w:pPr>
              <w:spacing w:after="0"/>
              <w:rPr>
                <w:sz w:val="15"/>
                <w:szCs w:val="15"/>
                <w:color w:val="auto"/>
              </w:rPr>
            </w:pPr>
          </w:p>
        </w:tc>
        <w:tc>
          <w:tcPr>
            <w:tcW w:w="206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60" w:type="dxa"/>
            <w:vAlign w:val="bottom"/>
            <w:gridSpan w:val="2"/>
          </w:tcPr>
          <w:p>
            <w:pPr>
              <w:ind w:left="140"/>
              <w:spacing w:after="0"/>
              <w:rPr>
                <w:sz w:val="20"/>
                <w:szCs w:val="20"/>
                <w:color w:val="auto"/>
              </w:rPr>
            </w:pPr>
            <w:r>
              <w:rPr>
                <w:rFonts w:ascii="Arial" w:cs="Arial" w:eastAsia="Arial" w:hAnsi="Arial"/>
                <w:sz w:val="10"/>
                <w:szCs w:val="10"/>
                <w:color w:val="auto"/>
              </w:rPr>
              <w:t>Date</w:t>
            </w: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4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1666" TargetMode="External"/><Relationship Id="rId14" Type="http://schemas.openxmlformats.org/officeDocument/2006/relationships/hyperlink" Target="http://www.sec.gov/cgi-bin/browse-edgar?action=getcompany&amp;CIK=00011581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2026-07-02T15:18:14Z</dcterms:created>
  <dcterms:modified xsi:type="dcterms:W3CDTF">2026-07-02T15:18:14Z</dcterms:modified>
</cp:coreProperties>
</file>