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814645.xml.htm"/>
      <w:bookmarkStart w:id="1" w:name="kswkform4_17818146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McLaughlin Matthew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COMSCORE,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11950 DEMOCRACY DRIVE, STE.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COMSCORE,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SCOR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303,030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303,030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303,030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restricted stock unit award was granted pursuant to the terms of the comScore, Inc. 2018 Equity and Incentive Compensation Plan and a compensation agreement with the reporter. This award vests in three equal annual installments beginning on 5/28/2027 subject to the reporter's continued employment with the Company through each vesting date. Vested units will be deferred and delivered in shares of common stock on the earlier of a separation from service or a change in control of the Company, as set forth in the applicable award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performance-based restricted stock unit award was granted pursuant to the terms of the comScore, Inc. 2018 Equity and Incentive Compensation Plan and a compensation agreement with the reporter. This award will be eligible to vest on 5/28/2029 subject to the achievement of certain stock price goals ranging from $14.50 to $22.50 on or prior to the vesting date. The reporter may earn up to 100% of the number of performance-based restricted stock units granted, depending on the level of achievement. Vested units will be deferred and delivered in shares of common stock on the earlier of a separation from service or a change in control of the Company, as set forth in the applicable award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Ashley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3874" TargetMode="External"/><Relationship Id="rId5" Type="http://schemas.openxmlformats.org/officeDocument/2006/relationships/hyperlink" Target="http://www.sec.gov/cgi-bin/browse-edgar?action=getcompany&amp;CIK=00011581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810</Words>
  <Characters>4342</Characters>
  <CharactersWithSpaces>5079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