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Liberty Broadband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1142"/>
        <w:gridCol w:w="449"/>
        <w:gridCol w:w="611"/>
        <w:gridCol w:w="115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3,286,825</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9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966"/>
        <w:gridCol w:w="276"/>
        <w:gridCol w:w="906"/>
        <w:gridCol w:w="801"/>
        <w:gridCol w:w="891"/>
        <w:gridCol w:w="1101"/>
        <w:gridCol w:w="801"/>
        <w:gridCol w:w="936"/>
        <w:gridCol w:w="831"/>
        <w:gridCol w:w="846"/>
      </w:tblGrid>
      <w:tr>
        <w:trPr>
          <w:tblHeader w:val="true"/>
        </w:trPr>
        <w:tc>
          <w:tcPr>
            <w:tcW w:w="128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4,223,621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4,223,621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19, 2026, as a result of the Combination (as defined in the Remarks section), Charter (as defined in the Remarks section) acquired the Reporting Person . As a result of the Combination, Charter became the beneficial owner of all the shares of Common Stock and Series C Convertible Preferred Stock beneficially owned by the Reporting Person and the Reporting Person ceased to be subject to the obligations of Section 16 of the Securities Exchange Act of 1934 with respect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As of August 19, 2026, the shares of Series C Convertible Preferred Stock reported herein are convertible into 4,223,461 shares of Common Stock. Subject to certain antidilution adjustments, the Series C Convertible Preferred Stock is convertible at the option of the holders at any time into a number of shares of Common Stock equal to the Conversion Rate (as defined in the Certificate of Designations for the Series C Convertible Preferred Stock), which is originally one-to-one. The Series C Convertible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Pursuant to the Agreement and Plan of Merger, dated as of November 12, 2024 (the "Merger Agreement"), by and among the Reporting Person, Charter Communications, Inc. ("Charter"), Fusion Merger Sub 1, LLC, a Delaware limited liability company and wholly owned direct subsidiary of Charter ("Merger LLC"), and Fusion Merger Sub 2, Inc., a Delaware corporation and wholly owned direct subsidiary of Merger LLC ("Merger Sub"), on August 19, 2026, Merger Sub merged with and into the Reporting Person (the "Merger"), with the Reporting Person surviving the Merger as a wholly owned subsidiary of Merger LLC, and immediately following the Merger, the Reporting Person (as the surviving corporation in the Merger) merged with and into Merger LLC (the "Upstream Merger," and together with the Merger, the "Combination"), with Merger LLC surviving the Upstream Merger as the surviving company and a wholly owned subsidiary of Charter.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Fusion Merger Sub 1, LLC, as successor by merger to Liberty Broadband Corporation. By: /s/ Jessica M. Fischer. Name: Jessica M. Fischer, Title: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1983"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914</Words>
  <Characters>4915</Characters>
  <CharactersWithSpaces>5748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